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99" w:rsidRPr="00FF2A99" w:rsidRDefault="00FF2A99" w:rsidP="00FF2A99">
      <w:pPr>
        <w:spacing w:line="560" w:lineRule="exact"/>
        <w:jc w:val="left"/>
        <w:rPr>
          <w:rFonts w:ascii="Times New Roman" w:eastAsia="方正大标宋简体" w:hAnsi="Times New Roman" w:cs="Times New Roman"/>
          <w:sz w:val="40"/>
          <w:szCs w:val="42"/>
        </w:rPr>
      </w:pPr>
      <w:r w:rsidRPr="00FF2A99">
        <w:rPr>
          <w:rFonts w:ascii="Times New Roman" w:eastAsia="方正大标宋简体" w:hAnsi="Times New Roman" w:cs="Times New Roman" w:hint="eastAsia"/>
          <w:sz w:val="40"/>
          <w:szCs w:val="42"/>
        </w:rPr>
        <w:t>附件</w:t>
      </w:r>
      <w:r w:rsidR="007147C4">
        <w:rPr>
          <w:rFonts w:ascii="Times New Roman" w:eastAsia="方正大标宋简体" w:hAnsi="Times New Roman" w:cs="Times New Roman"/>
          <w:sz w:val="40"/>
          <w:szCs w:val="42"/>
        </w:rPr>
        <w:t>4</w:t>
      </w:r>
      <w:r w:rsidR="004E27FA">
        <w:rPr>
          <w:rFonts w:ascii="Times New Roman" w:eastAsia="方正大标宋简体" w:hAnsi="Times New Roman" w:cs="Times New Roman" w:hint="eastAsia"/>
          <w:sz w:val="40"/>
          <w:szCs w:val="42"/>
        </w:rPr>
        <w:t>2</w:t>
      </w:r>
    </w:p>
    <w:p w:rsidR="00FF2A99" w:rsidRDefault="00FF2A99" w:rsidP="00FF2A99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t>上海期货交易所线材期货合约</w:t>
      </w:r>
    </w:p>
    <w:p w:rsidR="00FF2A99" w:rsidRPr="007147C4" w:rsidRDefault="00FF2A99" w:rsidP="00FF2A99">
      <w:pPr>
        <w:spacing w:line="56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7147C4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17"/>
        <w:gridCol w:w="6078"/>
      </w:tblGrid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线材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±5%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11:30,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C72C2E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 1499.1-</w:t>
            </w:r>
            <w:r w:rsidR="00C72C2E"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20</w:t>
            </w:r>
            <w:r w:rsidR="00C72C2E">
              <w:rPr>
                <w:rFonts w:ascii="Times New Roman" w:eastAsia="方正仿宋简体" w:hAnsi="Times New Roman" w:cs="Times New Roman"/>
                <w:sz w:val="28"/>
                <w:szCs w:val="28"/>
              </w:rPr>
              <w:t>24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《钢筋混凝土用钢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第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部分：热轧光圆钢筋》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HPB300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φ8mm 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线材。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C72C2E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 1499.1-</w:t>
            </w:r>
            <w:r w:rsidR="00C72C2E"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20</w:t>
            </w:r>
            <w:r w:rsidR="00C72C2E">
              <w:rPr>
                <w:rFonts w:ascii="Times New Roman" w:eastAsia="方正仿宋简体" w:hAnsi="Times New Roman" w:cs="Times New Roman"/>
                <w:sz w:val="28"/>
                <w:szCs w:val="28"/>
              </w:rPr>
              <w:t>24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《钢筋混凝土用钢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第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部分：热轧光圆钢筋》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HPB300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φ10mm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线材。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仓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库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7%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WR</w:t>
            </w:r>
          </w:p>
        </w:tc>
      </w:tr>
      <w:tr w:rsidR="00FF2A99" w:rsidRPr="00E15F89" w:rsidTr="00FF2A99">
        <w:trPr>
          <w:trHeight w:val="409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2A99" w:rsidRPr="00E15F89" w:rsidRDefault="00FF2A99" w:rsidP="00FF2A99">
            <w:pPr>
              <w:spacing w:line="4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E4C8B" w:rsidRDefault="00EE4C8B" w:rsidP="00EF06CF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EF06CF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上海期货交易所线材期货合约附件</w:t>
      </w:r>
    </w:p>
    <w:p w:rsidR="00FF2A99" w:rsidRPr="00E15F89" w:rsidRDefault="00FF2A99" w:rsidP="00EF06CF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Pr="00316350" w:rsidRDefault="00FF2A99" w:rsidP="00EF06C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FF2A99" w:rsidRPr="00E15F89" w:rsidRDefault="00FF2A99" w:rsidP="00EF06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线材期货合约的交易单位为每手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吨，交割单位为每一</w:t>
      </w:r>
      <w:r w:rsidRPr="0007472D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300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吨，交割应当以每一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仓单的整数倍交割。</w:t>
      </w:r>
    </w:p>
    <w:p w:rsidR="00FF2A99" w:rsidRPr="00316350" w:rsidRDefault="00FF2A99" w:rsidP="00EF06C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FF2A99" w:rsidRPr="00E15F89" w:rsidRDefault="00FF2A99" w:rsidP="00EF06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）用于实物交割的线材，质量应当符合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 1499.1-</w:t>
      </w:r>
      <w:r w:rsidR="00C72C2E" w:rsidRPr="00E15F89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C72C2E">
        <w:rPr>
          <w:rFonts w:ascii="Times New Roman" w:eastAsia="方正仿宋简体" w:hAnsi="Times New Roman" w:cs="Times New Roman"/>
          <w:sz w:val="30"/>
          <w:szCs w:val="30"/>
        </w:rPr>
        <w:t>24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《钢筋混凝土用钢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第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部分：热轧光圆钢筋》牌号为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HPB300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的有关规定。</w:t>
      </w:r>
    </w:p>
    <w:p w:rsidR="00FF2A99" w:rsidRPr="00E15F89" w:rsidRDefault="00FF2A99" w:rsidP="00EF06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）交割线材的尺寸、外形、重量及允许偏差、包装、标志和质量证明书应当符合国标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 1499.1-</w:t>
      </w:r>
      <w:r w:rsidR="00C72C2E" w:rsidRPr="00E15F89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C72C2E">
        <w:rPr>
          <w:rFonts w:ascii="Times New Roman" w:eastAsia="方正仿宋简体" w:hAnsi="Times New Roman" w:cs="Times New Roman"/>
          <w:sz w:val="30"/>
          <w:szCs w:val="30"/>
        </w:rPr>
        <w:t>24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《钢筋混凝土用钢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第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部分：热轧光圆钢筋》的规定。</w:t>
      </w:r>
    </w:p>
    <w:p w:rsidR="00FF2A99" w:rsidRPr="00E15F89" w:rsidRDefault="00FF2A99" w:rsidP="00EF06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）每一标准仓单的线材，应当是同一生产企业生产、同一牌号、同一注册商标、同一公称直径的商品组成，并且组成每一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仓单的线材的生产日期应当不超过连续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日，且以最早日期作为该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仓单的生产日期。</w:t>
      </w:r>
    </w:p>
    <w:p w:rsidR="00FF2A99" w:rsidRPr="00E15F89" w:rsidRDefault="00FF2A99" w:rsidP="00EF06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）每一标准仓单的线材，应当是交易所批准的注册品牌，应附有相应的质量证明书。</w:t>
      </w:r>
    </w:p>
    <w:p w:rsidR="00FF2A99" w:rsidRPr="00E15F89" w:rsidRDefault="00FF2A99" w:rsidP="00EF06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）线材交割以实际称重方式计量。每一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实物</w:t>
      </w:r>
      <w:r>
        <w:rPr>
          <w:rFonts w:ascii="Times New Roman" w:eastAsia="方正仿宋简体" w:hAnsi="Times New Roman" w:cs="Times New Roman"/>
          <w:sz w:val="30"/>
          <w:szCs w:val="30"/>
        </w:rPr>
        <w:t>溢短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±3%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，磅差不超过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±0.3% 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FF2A99" w:rsidRPr="00E15F89" w:rsidRDefault="00FF2A99" w:rsidP="00EF06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仓单应由本所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交割仓库按规定验收合格后出具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，或者由交割厂库按规定出具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FF2A99" w:rsidRPr="00316350" w:rsidRDefault="00FF2A99" w:rsidP="00EF06C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FF2A99" w:rsidRPr="00E15F89" w:rsidRDefault="00FF2A99" w:rsidP="00EF06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用于实物交割的线材，应当是交易所注册的品牌。具体的注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lastRenderedPageBreak/>
        <w:t>册品牌和升贴水标准，由交易所另行规定并公告。</w:t>
      </w:r>
    </w:p>
    <w:p w:rsidR="00FF2A99" w:rsidRPr="00316350" w:rsidRDefault="00FF2A99" w:rsidP="00EF06C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交割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仓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库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FF2A99" w:rsidRPr="00316350" w:rsidRDefault="00FF2A99" w:rsidP="00EF06CF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另行公告，异地交割</w:t>
      </w:r>
      <w:r w:rsidRPr="00815D4D">
        <w:rPr>
          <w:rFonts w:ascii="Times New Roman" w:eastAsia="方正仿宋简体" w:hAnsi="Times New Roman" w:cs="Times New Roman"/>
          <w:dstrike/>
          <w:sz w:val="30"/>
          <w:szCs w:val="30"/>
        </w:rPr>
        <w:t>仓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库升贴水标准由交易所规定并公告。</w:t>
      </w: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F2A9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0965C5" w:rsidRDefault="000965C5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上海期货交易所线材期货合约</w:t>
      </w:r>
    </w:p>
    <w:p w:rsidR="00FF2A99" w:rsidRPr="00E15F89" w:rsidRDefault="00FF2A99" w:rsidP="000965C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7147C4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bookmarkStart w:id="0" w:name="_GoBack"/>
      <w:bookmarkEnd w:id="0"/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8"/>
        <w:gridCol w:w="5937"/>
      </w:tblGrid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线材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±5%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11:30,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960BE4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 1499.1-</w:t>
            </w:r>
            <w:r w:rsidR="00960BE4"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20</w:t>
            </w:r>
            <w:r w:rsidR="00960BE4">
              <w:rPr>
                <w:rFonts w:ascii="Times New Roman" w:eastAsia="方正仿宋简体" w:hAnsi="Times New Roman" w:cs="Times New Roman"/>
                <w:sz w:val="28"/>
                <w:szCs w:val="28"/>
              </w:rPr>
              <w:t>24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《钢筋混凝土用钢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第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部分：热轧光圆钢筋》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HPB300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φ8mm 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线材。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480CDB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 1499.1-</w:t>
            </w:r>
            <w:r w:rsidR="00480CDB"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20</w:t>
            </w:r>
            <w:r w:rsidR="00480CDB">
              <w:rPr>
                <w:rFonts w:ascii="Times New Roman" w:eastAsia="方正仿宋简体" w:hAnsi="Times New Roman" w:cs="Times New Roman"/>
                <w:sz w:val="28"/>
                <w:szCs w:val="28"/>
              </w:rPr>
              <w:t>24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《钢筋混凝土用钢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第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部分：热轧光圆钢筋》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HPB300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φ10mm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线材。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交易所交割库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7%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WR</w:t>
            </w:r>
          </w:p>
        </w:tc>
      </w:tr>
      <w:tr w:rsidR="000965C5" w:rsidRPr="00E15F89" w:rsidTr="00FF2A99">
        <w:trPr>
          <w:trHeight w:val="40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65C5" w:rsidRPr="00E15F89" w:rsidRDefault="000965C5" w:rsidP="00FF2A99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965C5" w:rsidRPr="00E15F89" w:rsidRDefault="000965C5" w:rsidP="00D828C2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上海期货交易所线材期货合约附件</w:t>
      </w:r>
    </w:p>
    <w:p w:rsidR="000965C5" w:rsidRPr="000965C5" w:rsidRDefault="000965C5" w:rsidP="00D828C2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0965C5" w:rsidRPr="00316350" w:rsidRDefault="000965C5" w:rsidP="00D828C2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0965C5" w:rsidRPr="000965C5" w:rsidRDefault="000965C5" w:rsidP="00D828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线材期货合约的交易单位为每手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吨，交割单位为每一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300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吨，交割应当以每一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仓单的整数倍交割。</w:t>
      </w:r>
    </w:p>
    <w:p w:rsidR="000965C5" w:rsidRPr="000965C5" w:rsidRDefault="000965C5" w:rsidP="00D828C2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0965C5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0965C5" w:rsidRPr="000965C5" w:rsidRDefault="000965C5" w:rsidP="00D828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）用于实物交割的线材，质量应当符合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 1499.1-</w:t>
      </w:r>
      <w:r w:rsidR="00960BE4"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20</w:t>
      </w:r>
      <w:r w:rsidR="00960BE4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24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《钢筋混凝土用钢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第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部分：热轧光圆钢筋》牌号为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HPB300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的有关规定。</w:t>
      </w:r>
    </w:p>
    <w:p w:rsidR="000965C5" w:rsidRPr="000965C5" w:rsidRDefault="000965C5" w:rsidP="00D828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）交割线材的尺寸、外形、重量及允许偏差、包装、标志和质量证明书应当符合国标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 1499.1-</w:t>
      </w:r>
      <w:r w:rsidR="00480CD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2024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《钢筋混凝土用钢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第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部分：热轧光圆钢筋》的规定。</w:t>
      </w:r>
    </w:p>
    <w:p w:rsidR="000965C5" w:rsidRPr="000965C5" w:rsidRDefault="000965C5" w:rsidP="00D828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）每一标准仓单的线材，应当是同一生产企业生产、同一牌号、同一注册商标、同一公称直径的商品组成，并且组成每一标准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仓单的线材的生产日期应当不超过连续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十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日，且以最早日期作为该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仓单的生产日期。</w:t>
      </w:r>
    </w:p>
    <w:p w:rsidR="000965C5" w:rsidRPr="000965C5" w:rsidRDefault="000965C5" w:rsidP="00D828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）每一标准仓单的线材，应当是交易所批准的注册品牌，应附有相应的质量证明书。</w:t>
      </w:r>
    </w:p>
    <w:p w:rsidR="000965C5" w:rsidRPr="000965C5" w:rsidRDefault="000965C5" w:rsidP="00D828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）线材交割以实际称重方式计量。每一标准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仓单的溢短不超过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±3%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，磅差不超过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±0.3% 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0965C5" w:rsidRPr="000965C5" w:rsidRDefault="000965C5" w:rsidP="00D828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6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）标准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仓单应由本所交割仓库按规定验收合格后出具</w:t>
      </w:r>
      <w:r w:rsidRPr="000965C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，或者由交割厂库按规定出具</w:t>
      </w:r>
      <w:r w:rsidRPr="000965C5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。</w:t>
      </w:r>
    </w:p>
    <w:p w:rsidR="000965C5" w:rsidRPr="00316350" w:rsidRDefault="000965C5" w:rsidP="00D828C2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0965C5" w:rsidRPr="00E15F89" w:rsidRDefault="000965C5" w:rsidP="00D828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用于实物交割的线材，应当是交易所注册的品牌。具体的注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lastRenderedPageBreak/>
        <w:t>册品牌和升贴水标准，由交易所另行规定并公告。</w:t>
      </w:r>
    </w:p>
    <w:p w:rsidR="000965C5" w:rsidRPr="00316350" w:rsidRDefault="000965C5" w:rsidP="00D828C2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四、交割库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B8654A" w:rsidRPr="00D828C2" w:rsidRDefault="000965C5" w:rsidP="00D828C2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由交易所另行公告，异地交割库升贴水标准由交易所规定并公告。</w:t>
      </w:r>
    </w:p>
    <w:sectPr w:rsidR="00B8654A" w:rsidRPr="00D828C2" w:rsidSect="00AB26E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6E" w:rsidRDefault="00192B6E" w:rsidP="000965C5">
      <w:r>
        <w:separator/>
      </w:r>
    </w:p>
  </w:endnote>
  <w:endnote w:type="continuationSeparator" w:id="0">
    <w:p w:rsidR="00192B6E" w:rsidRDefault="00192B6E" w:rsidP="0009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87511"/>
      <w:docPartObj>
        <w:docPartGallery w:val="Page Numbers (Bottom of Page)"/>
        <w:docPartUnique/>
      </w:docPartObj>
    </w:sdtPr>
    <w:sdtContent>
      <w:p w:rsidR="000965C5" w:rsidRDefault="009368F7">
        <w:pPr>
          <w:pStyle w:val="a4"/>
          <w:jc w:val="center"/>
        </w:pPr>
        <w:r>
          <w:fldChar w:fldCharType="begin"/>
        </w:r>
        <w:r w:rsidR="000965C5">
          <w:instrText>PAGE   \* MERGEFORMAT</w:instrText>
        </w:r>
        <w:r>
          <w:fldChar w:fldCharType="separate"/>
        </w:r>
        <w:r w:rsidR="004E27FA" w:rsidRPr="004E27FA">
          <w:rPr>
            <w:noProof/>
            <w:lang w:val="zh-CN"/>
          </w:rPr>
          <w:t>1</w:t>
        </w:r>
        <w:r>
          <w:fldChar w:fldCharType="end"/>
        </w:r>
      </w:p>
    </w:sdtContent>
  </w:sdt>
  <w:p w:rsidR="000965C5" w:rsidRDefault="000965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6E" w:rsidRDefault="00192B6E" w:rsidP="000965C5">
      <w:r>
        <w:separator/>
      </w:r>
    </w:p>
  </w:footnote>
  <w:footnote w:type="continuationSeparator" w:id="0">
    <w:p w:rsidR="00192B6E" w:rsidRDefault="00192B6E" w:rsidP="00096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5C5"/>
    <w:rsid w:val="000965C5"/>
    <w:rsid w:val="00192B6E"/>
    <w:rsid w:val="001F41DA"/>
    <w:rsid w:val="002236B2"/>
    <w:rsid w:val="00382012"/>
    <w:rsid w:val="004313FA"/>
    <w:rsid w:val="00480CDB"/>
    <w:rsid w:val="004C2075"/>
    <w:rsid w:val="004E27FA"/>
    <w:rsid w:val="004E4306"/>
    <w:rsid w:val="007140EE"/>
    <w:rsid w:val="007147C4"/>
    <w:rsid w:val="007E6FDE"/>
    <w:rsid w:val="007F4C22"/>
    <w:rsid w:val="0087566D"/>
    <w:rsid w:val="008C1E65"/>
    <w:rsid w:val="009368F7"/>
    <w:rsid w:val="00960BE4"/>
    <w:rsid w:val="00AB26EE"/>
    <w:rsid w:val="00B410E1"/>
    <w:rsid w:val="00B8654A"/>
    <w:rsid w:val="00C51E1E"/>
    <w:rsid w:val="00C72C2E"/>
    <w:rsid w:val="00D828C2"/>
    <w:rsid w:val="00DB7A60"/>
    <w:rsid w:val="00EE4C8B"/>
    <w:rsid w:val="00EF06CF"/>
    <w:rsid w:val="00F463AC"/>
    <w:rsid w:val="00F556D9"/>
    <w:rsid w:val="00F66E2D"/>
    <w:rsid w:val="00FF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5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2C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2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305</Words>
  <Characters>1743</Characters>
  <Application>Microsoft Office Word</Application>
  <DocSecurity>0</DocSecurity>
  <Lines>14</Lines>
  <Paragraphs>4</Paragraphs>
  <ScaleCrop>false</ScaleCrop>
  <Company>SHFE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15</cp:revision>
  <dcterms:created xsi:type="dcterms:W3CDTF">2024-07-10T01:16:00Z</dcterms:created>
  <dcterms:modified xsi:type="dcterms:W3CDTF">2024-08-23T08:25:00Z</dcterms:modified>
</cp:coreProperties>
</file>