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C6" w:rsidRPr="00276AC6" w:rsidRDefault="00276AC6" w:rsidP="00276AC6">
      <w:pPr>
        <w:spacing w:line="560" w:lineRule="exact"/>
        <w:jc w:val="left"/>
        <w:rPr>
          <w:rFonts w:ascii="方正大标宋简体" w:eastAsia="方正大标宋简体" w:hAnsi="Times New Roman" w:cs="Times New Roman" w:hint="eastAsia"/>
          <w:color w:val="000000"/>
          <w:sz w:val="42"/>
          <w:szCs w:val="42"/>
        </w:rPr>
      </w:pPr>
      <w:r w:rsidRPr="00276AC6">
        <w:rPr>
          <w:rFonts w:ascii="方正大标宋简体" w:eastAsia="方正大标宋简体" w:hAnsi="Times New Roman" w:cs="Times New Roman" w:hint="eastAsia"/>
          <w:color w:val="000000"/>
          <w:sz w:val="42"/>
          <w:szCs w:val="42"/>
        </w:rPr>
        <w:t>附件2</w:t>
      </w:r>
    </w:p>
    <w:p w:rsidR="00276AC6" w:rsidRPr="00276AC6" w:rsidRDefault="00276AC6" w:rsidP="00276AC6">
      <w:pPr>
        <w:spacing w:line="560" w:lineRule="exact"/>
        <w:jc w:val="center"/>
        <w:rPr>
          <w:rFonts w:ascii="方正大标宋简体" w:eastAsia="方正大标宋简体" w:hAnsi="Times New Roman" w:cs="Times New Roman" w:hint="eastAsia"/>
          <w:kern w:val="36"/>
          <w:sz w:val="42"/>
          <w:szCs w:val="42"/>
        </w:rPr>
      </w:pPr>
    </w:p>
    <w:p w:rsidR="00276AC6" w:rsidRDefault="00276AC6" w:rsidP="00276AC6">
      <w:pPr>
        <w:spacing w:line="560" w:lineRule="exact"/>
        <w:jc w:val="center"/>
        <w:rPr>
          <w:rFonts w:ascii="方正大标宋简体" w:eastAsia="方正大标宋简体" w:hAnsi="Times New Roman" w:cs="Times New Roman"/>
          <w:kern w:val="36"/>
          <w:sz w:val="42"/>
          <w:szCs w:val="42"/>
        </w:rPr>
      </w:pPr>
      <w:r w:rsidRPr="00276AC6">
        <w:rPr>
          <w:rFonts w:ascii="方正大标宋简体" w:eastAsia="方正大标宋简体" w:hAnsi="Times New Roman" w:cs="Times New Roman" w:hint="eastAsia"/>
          <w:kern w:val="36"/>
          <w:sz w:val="42"/>
          <w:szCs w:val="42"/>
        </w:rPr>
        <w:t>上海期货交易所黄金期货合约修订说明</w:t>
      </w:r>
    </w:p>
    <w:p w:rsidR="00276AC6" w:rsidRPr="00276AC6" w:rsidRDefault="00276AC6" w:rsidP="00276AC6">
      <w:pPr>
        <w:spacing w:line="560" w:lineRule="exact"/>
        <w:jc w:val="center"/>
        <w:rPr>
          <w:rFonts w:ascii="方正大标宋简体" w:eastAsia="方正大标宋简体" w:hAnsi="Times New Roman" w:cs="Times New Roman" w:hint="eastAsia"/>
          <w:kern w:val="36"/>
          <w:sz w:val="42"/>
          <w:szCs w:val="42"/>
        </w:rPr>
      </w:pPr>
    </w:p>
    <w:p w:rsidR="00276AC6" w:rsidRPr="00610C47" w:rsidRDefault="00276AC6" w:rsidP="00276AC6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为更好服务我国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黄金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行业发展，促进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黄金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期货功能发挥，</w:t>
      </w:r>
      <w:r w:rsidRPr="00610C47">
        <w:rPr>
          <w:rFonts w:ascii="方正仿宋简体" w:eastAsia="方正仿宋简体" w:hAnsi="仿宋" w:cs="Times New Roman" w:hint="eastAsia"/>
          <w:color w:val="000000"/>
          <w:sz w:val="30"/>
          <w:szCs w:val="30"/>
        </w:rPr>
        <w:t>实现黄金期货</w:t>
      </w:r>
      <w:r w:rsidRPr="00610C47">
        <w:rPr>
          <w:rFonts w:ascii="方正仿宋简体" w:eastAsia="方正仿宋简体" w:hAnsi="仿宋" w:cs="Times New Roman"/>
          <w:color w:val="000000"/>
          <w:sz w:val="30"/>
          <w:szCs w:val="30"/>
        </w:rPr>
        <w:t>的</w:t>
      </w:r>
      <w:r w:rsidRPr="00610C47">
        <w:rPr>
          <w:rFonts w:ascii="方正仿宋简体" w:eastAsia="方正仿宋简体" w:hAnsi="仿宋" w:cs="Times New Roman" w:hint="eastAsia"/>
          <w:color w:val="000000"/>
          <w:sz w:val="30"/>
          <w:szCs w:val="30"/>
        </w:rPr>
        <w:t>平稳</w:t>
      </w:r>
      <w:r w:rsidRPr="00610C47">
        <w:rPr>
          <w:rFonts w:ascii="方正仿宋简体" w:eastAsia="方正仿宋简体" w:hAnsi="仿宋" w:cs="Times New Roman"/>
          <w:color w:val="000000"/>
          <w:sz w:val="30"/>
          <w:szCs w:val="30"/>
        </w:rPr>
        <w:t>交割，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上海期货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交易所根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国家市场监督管理总局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和国家标准化管理委员会联合发布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并实施的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国家标准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 xml:space="preserve">GB/T </w:t>
      </w:r>
      <w:r w:rsidRPr="00610C47">
        <w:rPr>
          <w:rFonts w:ascii="Times New Roman" w:eastAsia="方正仿宋简体" w:hAnsi="Times New Roman" w:cs="Times New Roman" w:hint="eastAsia"/>
          <w:sz w:val="30"/>
          <w:szCs w:val="30"/>
        </w:rPr>
        <w:t>4134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-20</w:t>
      </w:r>
      <w:r w:rsidRPr="00610C47">
        <w:rPr>
          <w:rFonts w:ascii="Times New Roman" w:eastAsia="方正仿宋简体" w:hAnsi="Times New Roman" w:cs="Times New Roman" w:hint="eastAsia"/>
          <w:sz w:val="30"/>
          <w:szCs w:val="30"/>
        </w:rPr>
        <w:t>21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修订《上海期货交易所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黄金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期货合约》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附件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，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修订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内容</w:t>
      </w:r>
      <w:r w:rsidRPr="00610C47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如下</w:t>
      </w:r>
      <w:r w:rsidRPr="00610C47">
        <w:rPr>
          <w:rFonts w:ascii="Times New Roman" w:eastAsia="方正仿宋简体" w:hAnsi="Times New Roman" w:cs="Times New Roman"/>
          <w:color w:val="000000"/>
          <w:sz w:val="30"/>
          <w:szCs w:val="30"/>
        </w:rPr>
        <w:t>：</w:t>
      </w:r>
    </w:p>
    <w:p w:rsidR="00276AC6" w:rsidRPr="00610C47" w:rsidRDefault="00276AC6" w:rsidP="00276AC6">
      <w:pPr>
        <w:spacing w:line="560" w:lineRule="exact"/>
        <w:ind w:firstLine="640"/>
        <w:rPr>
          <w:rFonts w:ascii="Times New Roman" w:eastAsia="方正仿宋简体" w:hAnsi="Times New Roman" w:cs="Times New Roman"/>
          <w:sz w:val="30"/>
          <w:szCs w:val="30"/>
        </w:rPr>
      </w:pPr>
      <w:r w:rsidRPr="00610C47">
        <w:rPr>
          <w:rFonts w:ascii="Times New Roman" w:eastAsia="方正仿宋简体" w:hAnsi="Times New Roman" w:cs="Times New Roman" w:hint="eastAsia"/>
          <w:sz w:val="30"/>
          <w:szCs w:val="30"/>
        </w:rPr>
        <w:t>将合约附件第二条第二款当中的“其他规定按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GB/T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4134-2015</w:t>
      </w:r>
      <w:r w:rsidRPr="00610C47">
        <w:rPr>
          <w:rFonts w:ascii="Times New Roman" w:eastAsia="方正仿宋简体" w:hAnsi="Times New Roman" w:cs="Times New Roman" w:hint="eastAsia"/>
          <w:sz w:val="30"/>
          <w:szCs w:val="30"/>
        </w:rPr>
        <w:t>标准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要求</w:t>
      </w:r>
      <w:r w:rsidRPr="00610C47">
        <w:rPr>
          <w:rFonts w:ascii="Times New Roman" w:eastAsia="方正仿宋简体" w:hAnsi="Times New Roman" w:cs="Times New Roman" w:hint="eastAsia"/>
          <w:sz w:val="30"/>
          <w:szCs w:val="30"/>
        </w:rPr>
        <w:t>”修改为“其他规定按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GB/T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4134-2021</w:t>
      </w:r>
      <w:r w:rsidRPr="00610C47">
        <w:rPr>
          <w:rFonts w:ascii="Times New Roman" w:eastAsia="方正仿宋简体" w:hAnsi="Times New Roman" w:cs="Times New Roman" w:hint="eastAsia"/>
          <w:sz w:val="30"/>
          <w:szCs w:val="30"/>
        </w:rPr>
        <w:t>标准</w:t>
      </w:r>
      <w:r w:rsidRPr="00610C47">
        <w:rPr>
          <w:rFonts w:ascii="Times New Roman" w:eastAsia="方正仿宋简体" w:hAnsi="Times New Roman" w:cs="Times New Roman"/>
          <w:sz w:val="30"/>
          <w:szCs w:val="30"/>
        </w:rPr>
        <w:t>要求</w:t>
      </w:r>
      <w:r w:rsidRPr="00610C47">
        <w:rPr>
          <w:rFonts w:ascii="Times New Roman" w:eastAsia="方正仿宋简体" w:hAnsi="Times New Roman" w:cs="Times New Roman" w:hint="eastAsia"/>
          <w:sz w:val="30"/>
          <w:szCs w:val="30"/>
        </w:rPr>
        <w:t>”。</w:t>
      </w:r>
    </w:p>
    <w:p w:rsidR="00591070" w:rsidRPr="00276AC6" w:rsidRDefault="00591070">
      <w:bookmarkStart w:id="0" w:name="_GoBack"/>
      <w:bookmarkEnd w:id="0"/>
    </w:p>
    <w:sectPr w:rsidR="00591070" w:rsidRPr="00276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6"/>
    <w:rsid w:val="00276AC6"/>
    <w:rsid w:val="005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BD8E1-B93C-4B7D-A295-C12D0763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2024-07-12T02:31:00Z</dcterms:created>
  <dcterms:modified xsi:type="dcterms:W3CDTF">2024-07-12T02:32:00Z</dcterms:modified>
</cp:coreProperties>
</file>