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rFonts w:hint="default" w:ascii="楷体" w:hAnsi="楷体" w:eastAsia="楷体" w:cs="楷体"/>
          <w:b/>
          <w:bCs/>
          <w:color w:val="008080"/>
          <w:sz w:val="44"/>
          <w:szCs w:val="44"/>
          <w:lang w:val="en-US" w:eastAsia="zh-CN"/>
        </w:rPr>
      </w:pPr>
      <w:r>
        <w:rPr>
          <w:rFonts w:hint="eastAsia" w:ascii="楷体" w:hAnsi="楷体" w:eastAsia="楷体" w:cs="楷体"/>
          <w:b/>
          <w:bCs/>
          <w:color w:val="008080"/>
          <w:sz w:val="44"/>
          <w:szCs w:val="44"/>
          <w:lang w:val="en-US" w:eastAsia="zh-CN"/>
        </w:rPr>
        <w:t>新湖农产（白糖）周报202</w:t>
      </w:r>
      <w:bookmarkStart w:id="0" w:name="OLE_LINK18"/>
      <w:bookmarkStart w:id="1" w:name="OLE_LINK17"/>
      <w:r>
        <w:rPr>
          <w:rFonts w:hint="eastAsia" w:ascii="楷体" w:hAnsi="楷体" w:eastAsia="楷体" w:cs="楷体"/>
          <w:b/>
          <w:bCs/>
          <w:color w:val="008080"/>
          <w:sz w:val="44"/>
          <w:szCs w:val="44"/>
          <w:lang w:val="en-US" w:eastAsia="zh-CN"/>
        </w:rPr>
        <w:t>40705</w:t>
      </w:r>
    </w:p>
    <w:p>
      <w:pPr>
        <w:bidi w:val="0"/>
        <w:spacing w:line="360" w:lineRule="auto"/>
        <w:rPr>
          <w:rFonts w:hint="eastAsia" w:ascii="楷体" w:hAnsi="楷体" w:eastAsia="楷体" w:cs="楷体"/>
          <w:b/>
          <w:bCs/>
          <w:color w:val="008080"/>
          <w:sz w:val="28"/>
          <w:szCs w:val="28"/>
          <w:lang w:val="en-US" w:eastAsia="zh-CN"/>
        </w:rPr>
      </w:pPr>
      <w:r>
        <w:rPr>
          <w:rFonts w:hint="eastAsia" w:ascii="楷体" w:hAnsi="楷体" w:eastAsia="楷体" w:cs="楷体"/>
          <w:b/>
          <w:bCs/>
          <w:color w:val="008080"/>
          <w:sz w:val="28"/>
          <w:szCs w:val="28"/>
          <w:lang w:val="en-US" w:eastAsia="zh-CN"/>
        </w:rPr>
        <w:t xml:space="preserve">一、行情回顾 </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 xml:space="preserve"> 本周内外糖价均继续维持区间波动，天气市话题开启，关注印度降雨情况和巴西六月下半月数据，国内国产糖上游维持报价，但进口糖到港预期增强，关注现货端支撑力度能否延续。截至2024年7月5日，国际ICE原糖期货主力合约收盘报价20.52美分/磅，郑糖期货主力合约收盘报价6261元/吨。</w:t>
      </w:r>
    </w:p>
    <w:p>
      <w:pPr>
        <w:spacing w:line="360" w:lineRule="auto"/>
        <w:ind w:right="-61" w:rightChars="-29"/>
        <w:jc w:val="both"/>
        <w:rPr>
          <w:rFonts w:hint="eastAsia" w:ascii="楷体" w:hAnsi="楷体" w:eastAsia="楷体" w:cs="楷体"/>
          <w:sz w:val="30"/>
          <w:szCs w:val="30"/>
        </w:rPr>
      </w:pPr>
      <w:r>
        <w:drawing>
          <wp:inline distT="0" distB="0" distL="114300" distR="114300">
            <wp:extent cx="5898515" cy="4610735"/>
            <wp:effectExtent l="0" t="0" r="6985" b="18415"/>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8"/>
                    <a:stretch>
                      <a:fillRect/>
                    </a:stretch>
                  </pic:blipFill>
                  <pic:spPr>
                    <a:xfrm>
                      <a:off x="0" y="0"/>
                      <a:ext cx="5898515" cy="4610735"/>
                    </a:xfrm>
                    <a:prstGeom prst="rect">
                      <a:avLst/>
                    </a:prstGeom>
                    <a:noFill/>
                    <a:ln>
                      <a:noFill/>
                    </a:ln>
                  </pic:spPr>
                </pic:pic>
              </a:graphicData>
            </a:graphic>
          </wp:inline>
        </w:drawing>
      </w:r>
    </w:p>
    <w:p>
      <w:pPr>
        <w:spacing w:line="360" w:lineRule="auto"/>
        <w:ind w:right="-61" w:rightChars="-29"/>
        <w:jc w:val="both"/>
        <w:rPr>
          <w:rFonts w:hint="eastAsia" w:ascii="楷体" w:hAnsi="楷体" w:eastAsia="楷体" w:cs="楷体"/>
          <w:sz w:val="30"/>
          <w:szCs w:val="30"/>
        </w:rPr>
      </w:pPr>
    </w:p>
    <w:p>
      <w:pPr>
        <w:spacing w:line="360" w:lineRule="auto"/>
        <w:ind w:right="-61" w:rightChars="-29"/>
        <w:jc w:val="both"/>
        <w:rPr>
          <w:rFonts w:hint="eastAsia" w:ascii="楷体" w:hAnsi="楷体" w:eastAsia="楷体" w:cs="楷体"/>
          <w:sz w:val="30"/>
          <w:szCs w:val="30"/>
        </w:rPr>
      </w:pPr>
    </w:p>
    <w:p>
      <w:pPr>
        <w:spacing w:line="360" w:lineRule="auto"/>
        <w:ind w:right="-61" w:rightChars="-29"/>
        <w:jc w:val="both"/>
        <w:rPr>
          <w:rFonts w:hint="eastAsia" w:ascii="楷体" w:hAnsi="楷体" w:eastAsia="楷体" w:cs="楷体"/>
          <w:sz w:val="30"/>
          <w:szCs w:val="30"/>
        </w:rPr>
      </w:pPr>
    </w:p>
    <w:p>
      <w:pPr>
        <w:spacing w:line="360" w:lineRule="auto"/>
        <w:ind w:right="-61" w:rightChars="-29"/>
        <w:jc w:val="both"/>
        <w:rPr>
          <w:rFonts w:hint="eastAsia" w:ascii="楷体" w:hAnsi="楷体" w:eastAsia="楷体" w:cs="楷体"/>
          <w:sz w:val="30"/>
          <w:szCs w:val="30"/>
        </w:rPr>
      </w:pPr>
    </w:p>
    <w:p>
      <w:pPr>
        <w:bidi w:val="0"/>
        <w:spacing w:line="360" w:lineRule="auto"/>
        <w:rPr>
          <w:rFonts w:hint="eastAsia" w:ascii="楷体" w:hAnsi="楷体" w:eastAsia="楷体" w:cs="楷体"/>
          <w:b/>
          <w:bCs/>
          <w:color w:val="008080"/>
          <w:sz w:val="28"/>
          <w:szCs w:val="28"/>
          <w:lang w:val="en-US" w:eastAsia="zh-CN"/>
        </w:rPr>
        <w:sectPr>
          <w:headerReference r:id="rId3" w:type="default"/>
          <w:footerReference r:id="rId4" w:type="default"/>
          <w:pgSz w:w="11907" w:h="16160"/>
          <w:pgMar w:top="1418" w:right="1304" w:bottom="964" w:left="1304" w:header="601" w:footer="572" w:gutter="0"/>
          <w:cols w:space="720" w:num="1"/>
          <w:docGrid w:type="lines" w:linePitch="312" w:charSpace="0"/>
        </w:sectPr>
      </w:pPr>
    </w:p>
    <w:p>
      <w:pPr>
        <w:bidi w:val="0"/>
        <w:spacing w:line="360" w:lineRule="auto"/>
        <w:rPr>
          <w:rFonts w:hint="eastAsia" w:ascii="楷体" w:hAnsi="楷体" w:eastAsia="楷体" w:cs="楷体"/>
          <w:b/>
          <w:bCs/>
          <w:color w:val="008080"/>
          <w:sz w:val="28"/>
          <w:szCs w:val="28"/>
          <w:lang w:val="en-US" w:eastAsia="zh-CN"/>
        </w:rPr>
      </w:pPr>
      <w:r>
        <w:rPr>
          <w:rFonts w:hint="eastAsia" w:ascii="楷体" w:hAnsi="楷体" w:eastAsia="楷体" w:cs="楷体"/>
          <w:b/>
          <w:bCs/>
          <w:color w:val="008080"/>
          <w:sz w:val="28"/>
          <w:szCs w:val="28"/>
          <w:lang w:val="en-US" w:eastAsia="zh-CN"/>
        </w:rPr>
        <w:t xml:space="preserve">二、基本面分析  </w:t>
      </w:r>
    </w:p>
    <w:p>
      <w:pPr>
        <w:bidi w:val="0"/>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1、国际方面</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楷体" w:hAnsi="楷体" w:eastAsia="楷体" w:cs="楷体"/>
          <w:sz w:val="24"/>
          <w:szCs w:val="24"/>
          <w:lang w:val="en-US" w:eastAsia="zh-CN"/>
        </w:rPr>
      </w:pPr>
      <w:r>
        <w:drawing>
          <wp:inline distT="0" distB="0" distL="114300" distR="114300">
            <wp:extent cx="5902960" cy="3973195"/>
            <wp:effectExtent l="0" t="0" r="2540" b="8255"/>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9"/>
                    <a:stretch>
                      <a:fillRect/>
                    </a:stretch>
                  </pic:blipFill>
                  <pic:spPr>
                    <a:xfrm>
                      <a:off x="0" y="0"/>
                      <a:ext cx="5902960" cy="3973195"/>
                    </a:xfrm>
                    <a:prstGeom prst="rect">
                      <a:avLst/>
                    </a:prstGeom>
                    <a:noFill/>
                    <a:ln>
                      <a:noFill/>
                    </a:ln>
                  </pic:spPr>
                </pic:pic>
              </a:graphicData>
            </a:graphic>
          </wp:inline>
        </w:drawing>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25" w:afterAutospacing="0" w:line="360" w:lineRule="auto"/>
        <w:ind w:right="0"/>
        <w:jc w:val="both"/>
        <w:textAlignment w:val="auto"/>
        <w:rPr>
          <w:rFonts w:hint="eastAsia" w:ascii="楷体" w:hAnsi="楷体" w:eastAsia="楷体" w:cs="楷体"/>
          <w:b/>
          <w:bCs/>
          <w:strike w:val="0"/>
          <w:dstrike w:val="0"/>
          <w:kern w:val="2"/>
          <w:sz w:val="24"/>
          <w:szCs w:val="24"/>
          <w:lang w:val="en-US" w:eastAsia="zh-CN" w:bidi="ar-SA"/>
        </w:rPr>
      </w:pPr>
      <w:r>
        <w:rPr>
          <w:rFonts w:hint="eastAsia" w:ascii="楷体" w:hAnsi="楷体" w:eastAsia="楷体" w:cs="楷体"/>
          <w:b/>
          <w:bCs/>
          <w:strike w:val="0"/>
          <w:dstrike w:val="0"/>
          <w:kern w:val="2"/>
          <w:sz w:val="24"/>
          <w:szCs w:val="24"/>
          <w:lang w:val="en-US" w:eastAsia="zh-CN" w:bidi="ar-SA"/>
        </w:rPr>
        <w:t>（1）巴西榨季初期上量明显，出口强劲</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25" w:afterAutospacing="0" w:line="360" w:lineRule="auto"/>
        <w:ind w:left="0" w:right="0" w:firstLine="480" w:firstLineChars="200"/>
        <w:jc w:val="both"/>
        <w:textAlignment w:val="auto"/>
        <w:rPr>
          <w:rFonts w:hint="eastAsia" w:ascii="楷体" w:hAnsi="楷体" w:eastAsia="楷体" w:cs="楷体"/>
          <w:strike w:val="0"/>
          <w:dstrike w:val="0"/>
          <w:kern w:val="2"/>
          <w:sz w:val="24"/>
          <w:szCs w:val="24"/>
          <w:lang w:val="en-US" w:eastAsia="zh-CN" w:bidi="ar-SA"/>
        </w:rPr>
      </w:pPr>
      <w:r>
        <w:rPr>
          <w:rFonts w:hint="eastAsia" w:ascii="楷体" w:hAnsi="楷体" w:eastAsia="楷体" w:cs="楷体"/>
          <w:strike w:val="0"/>
          <w:dstrike w:val="0"/>
          <w:kern w:val="2"/>
          <w:sz w:val="24"/>
          <w:szCs w:val="24"/>
          <w:lang w:val="en-US" w:eastAsia="zh-CN" w:bidi="ar-SA"/>
        </w:rPr>
        <w:t>生产方面，6月上半月巴西食糖产量再创新高，根据UNICA的数据来看，2024/25榨季截至6月上半月，巴西中南部地区累计入榨量为18945.8万吨，同比增加2221.9万吨，增幅达13.25%；甘蔗ATR为125.38kg/吨，同比减少1.7kg/吨；累计制糖比为48.38%，同比增加1.14%；累计产乙醇87.1亿升，同比增加9.5亿升，增幅达12.24%；累计产糖量为1095万吨，同比增加138万吨，增幅达14.42%。</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25" w:afterAutospacing="0" w:line="360" w:lineRule="auto"/>
        <w:ind w:left="0" w:right="0" w:firstLine="480" w:firstLineChars="200"/>
        <w:jc w:val="both"/>
        <w:textAlignment w:val="auto"/>
        <w:rPr>
          <w:rFonts w:hint="eastAsia" w:ascii="楷体" w:hAnsi="楷体" w:eastAsia="楷体" w:cs="楷体"/>
          <w:strike w:val="0"/>
          <w:dstrike w:val="0"/>
          <w:kern w:val="2"/>
          <w:sz w:val="24"/>
          <w:szCs w:val="24"/>
          <w:lang w:val="en-US" w:eastAsia="zh-CN" w:bidi="ar-SA"/>
        </w:rPr>
      </w:pPr>
      <w:r>
        <w:rPr>
          <w:rFonts w:hint="eastAsia" w:ascii="楷体" w:hAnsi="楷体" w:eastAsia="楷体" w:cs="楷体"/>
          <w:strike w:val="0"/>
          <w:dstrike w:val="0"/>
          <w:kern w:val="2"/>
          <w:sz w:val="24"/>
          <w:szCs w:val="24"/>
          <w:lang w:val="en-US" w:eastAsia="zh-CN" w:bidi="ar-SA"/>
        </w:rPr>
        <w:t>单从累积产量数据来看，巴西24/25榨季开榨初期表现优于预期，开榨进程较为顺利，产量数据对糖价产生一定压力。按照巴西目前的天气情况，相对干燥有利于压榨期前半段的进程推进，或带动上量初期的糖产量，或导致全球供需趋松的预期或提前实现。</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25" w:afterAutospacing="0" w:line="360" w:lineRule="auto"/>
        <w:ind w:left="0" w:right="0" w:firstLine="480" w:firstLineChars="200"/>
        <w:jc w:val="both"/>
        <w:textAlignment w:val="auto"/>
        <w:rPr>
          <w:rFonts w:hint="eastAsia" w:ascii="楷体" w:hAnsi="楷体" w:eastAsia="楷体" w:cs="楷体"/>
          <w:strike w:val="0"/>
          <w:dstrike w:val="0"/>
          <w:kern w:val="2"/>
          <w:sz w:val="24"/>
          <w:szCs w:val="24"/>
          <w:lang w:val="en-US" w:eastAsia="zh-CN" w:bidi="ar-SA"/>
        </w:rPr>
      </w:pPr>
      <w:r>
        <w:rPr>
          <w:rFonts w:hint="eastAsia" w:ascii="楷体" w:hAnsi="楷体" w:eastAsia="楷体" w:cs="楷体"/>
          <w:strike w:val="0"/>
          <w:dstrike w:val="0"/>
          <w:kern w:val="2"/>
          <w:sz w:val="24"/>
          <w:szCs w:val="24"/>
          <w:lang w:val="en-US" w:eastAsia="zh-CN" w:bidi="ar-SA"/>
        </w:rPr>
        <w:t>值得注意的是，考虑到本榨季初期上量偏快，整体压榨量大幅提高，在持续干燥的天气支持下，巴西食糖本榨季或提前完成压榨任务，或出现榨季末休榨的情况。</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25" w:afterAutospacing="0" w:line="360" w:lineRule="auto"/>
        <w:ind w:left="0" w:right="0" w:firstLine="480" w:firstLineChars="200"/>
        <w:jc w:val="both"/>
        <w:textAlignment w:val="auto"/>
        <w:rPr>
          <w:rFonts w:hint="default" w:ascii="楷体" w:hAnsi="楷体" w:eastAsia="楷体" w:cs="楷体"/>
          <w:b/>
          <w:bCs/>
          <w:strike w:val="0"/>
          <w:dstrike w:val="0"/>
          <w:kern w:val="2"/>
          <w:sz w:val="24"/>
          <w:szCs w:val="24"/>
          <w:lang w:val="en-US" w:eastAsia="zh-CN" w:bidi="ar-SA"/>
        </w:rPr>
      </w:pPr>
      <w:r>
        <w:rPr>
          <w:rFonts w:hint="eastAsia" w:ascii="楷体" w:hAnsi="楷体" w:eastAsia="楷体" w:cs="楷体"/>
          <w:strike w:val="0"/>
          <w:dstrike w:val="0"/>
          <w:kern w:val="2"/>
          <w:sz w:val="24"/>
          <w:szCs w:val="24"/>
          <w:lang w:val="en-US" w:eastAsia="zh-CN" w:bidi="ar-SA"/>
        </w:rPr>
        <w:t>出口方面，巴西食糖出口依旧强劲，巴西6月出口糖320.19万吨，同比增加11.69%，24/25榨季累计出口糖790.05万吨，同比增加25.14%。</w:t>
      </w:r>
    </w:p>
    <w:p>
      <w:pPr>
        <w:spacing w:line="360" w:lineRule="auto"/>
        <w:ind w:right="-61" w:rightChars="-29"/>
        <w:jc w:val="both"/>
        <w:rPr>
          <w:rFonts w:hint="eastAsia" w:ascii="楷体" w:hAnsi="楷体" w:eastAsia="楷体" w:cs="楷体"/>
          <w:lang w:eastAsia="zh-CN"/>
        </w:rPr>
      </w:pPr>
      <w:r>
        <w:rPr>
          <w:rFonts w:hint="eastAsia" w:ascii="楷体" w:hAnsi="楷体" w:eastAsia="楷体" w:cs="楷体"/>
        </w:rPr>
        <mc:AlternateContent>
          <mc:Choice Requires="wps">
            <w:drawing>
              <wp:anchor distT="0" distB="0" distL="114300" distR="114300" simplePos="0" relativeHeight="251659264" behindDoc="0" locked="0" layoutInCell="1" allowOverlap="1">
                <wp:simplePos x="0" y="0"/>
                <wp:positionH relativeFrom="column">
                  <wp:posOffset>-4445</wp:posOffset>
                </wp:positionH>
                <wp:positionV relativeFrom="paragraph">
                  <wp:posOffset>4031615</wp:posOffset>
                </wp:positionV>
                <wp:extent cx="5935345" cy="0"/>
                <wp:effectExtent l="0" t="13970" r="8255" b="24130"/>
                <wp:wrapNone/>
                <wp:docPr id="25" name="直接连接符 25"/>
                <wp:cNvGraphicFramePr/>
                <a:graphic xmlns:a="http://schemas.openxmlformats.org/drawingml/2006/main">
                  <a:graphicData uri="http://schemas.microsoft.com/office/word/2010/wordprocessingShape">
                    <wps:wsp>
                      <wps:cNvCnPr>
                        <a:cxnSpLocks noChangeShapeType="1"/>
                      </wps:cNvCnPr>
                      <wps:spPr bwMode="auto">
                        <a:xfrm>
                          <a:off x="0" y="0"/>
                          <a:ext cx="5935345" cy="0"/>
                        </a:xfrm>
                        <a:prstGeom prst="line">
                          <a:avLst/>
                        </a:prstGeom>
                        <a:noFill/>
                        <a:ln w="28575">
                          <a:solidFill>
                            <a:srgbClr val="008080"/>
                          </a:solidFill>
                          <a:round/>
                        </a:ln>
                        <a:effectLst/>
                      </wps:spPr>
                      <wps:bodyPr/>
                    </wps:wsp>
                  </a:graphicData>
                </a:graphic>
              </wp:anchor>
            </w:drawing>
          </mc:Choice>
          <mc:Fallback>
            <w:pict>
              <v:line id="_x0000_s1026" o:spid="_x0000_s1026" o:spt="20" style="position:absolute;left:0pt;margin-left:-0.35pt;margin-top:317.45pt;height:0pt;width:467.35pt;z-index:251659264;mso-width-relative:page;mso-height-relative:page;" filled="f" stroked="t" coordsize="21600,21600" o:gfxdata="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Nodyo&#10;1AAAAAYBAAAPAAAAAAAAAAEAIAAAACIAAABkcnMvZG93bnJldi54bWxQSwECFAAUAAAACACHTuJA&#10;BI1o7+wBAAC7AwAADgAAAAAAAAABACAAAAAjAQAAZHJzL2Uyb0RvYy54bWxQSwUGAAAAAAYABgBZ&#10;AQAAgQUAAAAA&#10;">
                <v:fill on="f" focussize="0,0"/>
                <v:stroke weight="2.25pt" color="#008080" joinstyle="round"/>
                <v:imagedata o:title=""/>
                <o:lock v:ext="edit" aspectratio="f"/>
              </v:line>
            </w:pict>
          </mc:Fallback>
        </mc:AlternateContent>
      </w:r>
      <w:r>
        <w:drawing>
          <wp:inline distT="0" distB="0" distL="114300" distR="114300">
            <wp:extent cx="5898515" cy="3629025"/>
            <wp:effectExtent l="0" t="0" r="6985" b="9525"/>
            <wp:docPr id="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
                    <pic:cNvPicPr>
                      <a:picLocks noChangeAspect="1"/>
                    </pic:cNvPicPr>
                  </pic:nvPicPr>
                  <pic:blipFill>
                    <a:blip r:embed="rId10"/>
                    <a:stretch>
                      <a:fillRect/>
                    </a:stretch>
                  </pic:blipFill>
                  <pic:spPr>
                    <a:xfrm>
                      <a:off x="0" y="0"/>
                      <a:ext cx="5898515" cy="3629025"/>
                    </a:xfrm>
                    <a:prstGeom prst="rect">
                      <a:avLst/>
                    </a:prstGeom>
                    <a:noFill/>
                    <a:ln>
                      <a:noFill/>
                    </a:ln>
                  </pic:spPr>
                </pic:pic>
              </a:graphicData>
            </a:graphic>
          </wp:inline>
        </w:drawing>
      </w:r>
      <w:r>
        <w:drawing>
          <wp:inline distT="0" distB="0" distL="114300" distR="114300">
            <wp:extent cx="5897880" cy="4022090"/>
            <wp:effectExtent l="0" t="0" r="7620" b="16510"/>
            <wp:docPr id="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pic:cNvPicPr>
                      <a:picLocks noChangeAspect="1"/>
                    </pic:cNvPicPr>
                  </pic:nvPicPr>
                  <pic:blipFill>
                    <a:blip r:embed="rId11"/>
                    <a:stretch>
                      <a:fillRect/>
                    </a:stretch>
                  </pic:blipFill>
                  <pic:spPr>
                    <a:xfrm>
                      <a:off x="0" y="0"/>
                      <a:ext cx="5897880" cy="4022090"/>
                    </a:xfrm>
                    <a:prstGeom prst="rect">
                      <a:avLst/>
                    </a:prstGeom>
                    <a:noFill/>
                    <a:ln>
                      <a:noFill/>
                    </a:ln>
                  </pic:spPr>
                </pic:pic>
              </a:graphicData>
            </a:graphic>
          </wp:inline>
        </w:drawing>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25" w:afterAutospacing="0" w:line="360" w:lineRule="auto"/>
        <w:ind w:left="0" w:right="0" w:firstLine="480" w:firstLineChars="200"/>
        <w:jc w:val="both"/>
        <w:textAlignment w:val="auto"/>
        <w:rPr>
          <w:rFonts w:hint="eastAsia" w:ascii="楷体" w:hAnsi="楷体" w:eastAsia="楷体" w:cs="楷体"/>
          <w:strike w:val="0"/>
          <w:dstrike w:val="0"/>
          <w:kern w:val="2"/>
          <w:sz w:val="24"/>
          <w:szCs w:val="24"/>
          <w:lang w:val="en-US" w:eastAsia="zh-CN" w:bidi="ar-SA"/>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25" w:afterAutospacing="0" w:line="360" w:lineRule="auto"/>
        <w:ind w:left="0" w:right="0" w:firstLine="480" w:firstLineChars="200"/>
        <w:jc w:val="both"/>
        <w:textAlignment w:val="auto"/>
        <w:rPr>
          <w:rFonts w:hint="eastAsia" w:ascii="楷体" w:hAnsi="楷体" w:eastAsia="楷体" w:cs="楷体"/>
          <w:strike w:val="0"/>
          <w:dstrike w:val="0"/>
          <w:kern w:val="2"/>
          <w:sz w:val="24"/>
          <w:szCs w:val="24"/>
          <w:lang w:val="en-US" w:eastAsia="zh-CN" w:bidi="ar-SA"/>
        </w:rPr>
      </w:pPr>
      <w:r>
        <w:drawing>
          <wp:inline distT="0" distB="0" distL="114300" distR="114300">
            <wp:extent cx="5902325" cy="6080125"/>
            <wp:effectExtent l="0" t="0" r="3175" b="15875"/>
            <wp:docPr id="5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
                    <pic:cNvPicPr>
                      <a:picLocks noChangeAspect="1"/>
                    </pic:cNvPicPr>
                  </pic:nvPicPr>
                  <pic:blipFill>
                    <a:blip r:embed="rId12"/>
                    <a:stretch>
                      <a:fillRect/>
                    </a:stretch>
                  </pic:blipFill>
                  <pic:spPr>
                    <a:xfrm>
                      <a:off x="0" y="0"/>
                      <a:ext cx="5902325" cy="6080125"/>
                    </a:xfrm>
                    <a:prstGeom prst="rect">
                      <a:avLst/>
                    </a:prstGeom>
                    <a:noFill/>
                    <a:ln>
                      <a:noFill/>
                    </a:ln>
                  </pic:spPr>
                </pic:pic>
              </a:graphicData>
            </a:graphic>
          </wp:inline>
        </w:drawing>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25" w:afterAutospacing="0" w:line="360" w:lineRule="auto"/>
        <w:ind w:left="0" w:right="0" w:firstLine="480" w:firstLineChars="200"/>
        <w:jc w:val="both"/>
        <w:textAlignment w:val="auto"/>
        <w:rPr>
          <w:rFonts w:hint="eastAsia" w:ascii="楷体" w:hAnsi="楷体" w:eastAsia="楷体" w:cs="楷体"/>
          <w:strike w:val="0"/>
          <w:dstrike w:val="0"/>
          <w:kern w:val="2"/>
          <w:sz w:val="24"/>
          <w:szCs w:val="24"/>
          <w:lang w:val="en-US" w:eastAsia="zh-CN" w:bidi="ar-SA"/>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25" w:afterAutospacing="0" w:line="360" w:lineRule="auto"/>
        <w:ind w:right="0"/>
        <w:jc w:val="both"/>
        <w:textAlignment w:val="auto"/>
        <w:rPr>
          <w:rFonts w:hint="default" w:ascii="楷体" w:hAnsi="楷体" w:eastAsia="楷体" w:cs="楷体"/>
          <w:b/>
          <w:bCs/>
          <w:strike w:val="0"/>
          <w:dstrike w:val="0"/>
          <w:kern w:val="2"/>
          <w:sz w:val="24"/>
          <w:szCs w:val="24"/>
          <w:lang w:val="en-US" w:eastAsia="zh-CN" w:bidi="ar-SA"/>
        </w:rPr>
      </w:pPr>
      <w:r>
        <w:rPr>
          <w:rFonts w:hint="eastAsia" w:ascii="楷体" w:hAnsi="楷体" w:eastAsia="楷体" w:cs="楷体"/>
          <w:b/>
          <w:bCs/>
          <w:strike w:val="0"/>
          <w:dstrike w:val="0"/>
          <w:kern w:val="2"/>
          <w:sz w:val="24"/>
          <w:szCs w:val="24"/>
          <w:lang w:val="en-US" w:eastAsia="zh-CN" w:bidi="ar-SA"/>
        </w:rPr>
        <w:t>（2）印度季风降雨预期增强，新季将迎来恢复性增产</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25" w:afterAutospacing="0" w:line="360" w:lineRule="auto"/>
        <w:ind w:left="0" w:right="0" w:firstLine="480" w:firstLineChars="200"/>
        <w:jc w:val="both"/>
        <w:textAlignment w:val="auto"/>
        <w:rPr>
          <w:rFonts w:hint="eastAsia" w:ascii="楷体" w:hAnsi="楷体" w:eastAsia="楷体" w:cs="楷体"/>
          <w:strike w:val="0"/>
          <w:dstrike w:val="0"/>
          <w:kern w:val="2"/>
          <w:sz w:val="24"/>
          <w:szCs w:val="24"/>
          <w:lang w:val="en-US" w:eastAsia="zh-CN" w:bidi="ar-SA"/>
        </w:rPr>
      </w:pPr>
      <w:r>
        <w:rPr>
          <w:rFonts w:hint="eastAsia" w:ascii="楷体" w:hAnsi="楷体" w:eastAsia="楷体" w:cs="楷体"/>
          <w:strike w:val="0"/>
          <w:dstrike w:val="0"/>
          <w:kern w:val="2"/>
          <w:sz w:val="24"/>
          <w:szCs w:val="24"/>
          <w:lang w:val="en-US" w:eastAsia="zh-CN" w:bidi="ar-SA"/>
        </w:rPr>
        <w:t>印度23/24榨季已经结束，据印度糖厂联合会(NFCSF)的数据，2023/24榨季截至5月31日，印度甘蔗压榨量为3.1378亿吨；产糖量为3167万吨；平均产糖率为10.09%，较上榨季同期的9.83%提高0.26%。在限制使用甘蔗生产乙醇后，预计2023/24榨季印度食糖供应过剩量将达到360万吨。据悉，ISMA估计2023/24榨季印度食糖期初库存约为560万吨，食糖消费量约2850万吨，因此食糖期末库存将大幅增至910万吨，较往年均值（550万吨）多360万吨。为改善糖厂的财务状况，ISMA再次呼吁印度政府准许出口食糖供应量的过剩部分，但是目前尚未有确定文件出炉，等待7月印度政策指引。</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25" w:afterAutospacing="0" w:line="360" w:lineRule="auto"/>
        <w:ind w:left="0" w:right="0" w:firstLine="480" w:firstLineChars="200"/>
        <w:jc w:val="both"/>
        <w:textAlignment w:val="auto"/>
        <w:rPr>
          <w:rFonts w:hint="eastAsia" w:ascii="楷体" w:hAnsi="楷体" w:eastAsia="楷体" w:cs="楷体"/>
          <w:strike w:val="0"/>
          <w:dstrike w:val="0"/>
          <w:kern w:val="2"/>
          <w:sz w:val="24"/>
          <w:szCs w:val="24"/>
          <w:lang w:val="en-US" w:eastAsia="zh-CN" w:bidi="ar-SA"/>
        </w:rPr>
      </w:pPr>
      <w:r>
        <w:rPr>
          <w:rFonts w:hint="eastAsia" w:ascii="楷体" w:hAnsi="楷体" w:eastAsia="楷体" w:cs="楷体"/>
          <w:strike w:val="0"/>
          <w:dstrike w:val="0"/>
          <w:kern w:val="2"/>
          <w:sz w:val="24"/>
          <w:szCs w:val="24"/>
          <w:lang w:val="en-US" w:eastAsia="zh-CN" w:bidi="ar-SA"/>
        </w:rPr>
        <w:t>据印度农业部最新发布的数据，截至6月28日的甘蔗种植面积为568万公顷，较去年同期的550万公顷增长18万公顷，涨幅3.27%。</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25" w:afterAutospacing="0" w:line="360" w:lineRule="auto"/>
        <w:ind w:left="0" w:right="0" w:firstLine="480" w:firstLineChars="200"/>
        <w:jc w:val="both"/>
        <w:textAlignment w:val="auto"/>
        <w:rPr>
          <w:rFonts w:hint="eastAsia" w:ascii="楷体" w:hAnsi="楷体" w:eastAsia="楷体" w:cs="楷体"/>
          <w:sz w:val="24"/>
          <w:szCs w:val="24"/>
          <w:lang w:val="en-US" w:eastAsia="zh-CN"/>
        </w:rPr>
      </w:pPr>
      <w:r>
        <w:rPr>
          <w:rFonts w:hint="eastAsia" w:ascii="楷体" w:hAnsi="楷体" w:eastAsia="楷体" w:cs="楷体"/>
          <w:strike w:val="0"/>
          <w:dstrike w:val="0"/>
          <w:kern w:val="2"/>
          <w:sz w:val="24"/>
          <w:szCs w:val="24"/>
          <w:lang w:val="en-US" w:eastAsia="zh-CN" w:bidi="ar-SA"/>
        </w:rPr>
        <w:t>印度气象局（IMD）表示，7月初，季风雨已遍布印度全国，但降雨量较上年同期低7%。IMD总干事Mrutyunjay Mohapatra表示，7月份降雨量很可能达到长期平均值280.4毫米的106%，除了印度东北部的大部分地区和印度西北部、东部及东南部的一小部分地区外，该国大部分地区的降雨量都可能会等于或高于正常水平</w:t>
      </w:r>
      <w:r>
        <w:rPr>
          <w:rFonts w:hint="eastAsia" w:ascii="楷体" w:hAnsi="楷体" w:eastAsia="楷体" w:cs="楷体"/>
          <w:sz w:val="24"/>
          <w:szCs w:val="24"/>
          <w:lang w:val="en-US" w:eastAsia="zh-CN"/>
        </w:rPr>
        <w:t>。</w:t>
      </w:r>
    </w:p>
    <w:p>
      <w:pPr>
        <w:spacing w:line="360" w:lineRule="auto"/>
        <w:jc w:val="both"/>
      </w:pPr>
      <w:r>
        <w:drawing>
          <wp:inline distT="0" distB="0" distL="114300" distR="114300">
            <wp:extent cx="5899150" cy="6497955"/>
            <wp:effectExtent l="0" t="0" r="6350" b="17145"/>
            <wp:docPr id="5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pic:cNvPicPr>
                      <a:picLocks noChangeAspect="1"/>
                    </pic:cNvPicPr>
                  </pic:nvPicPr>
                  <pic:blipFill>
                    <a:blip r:embed="rId13"/>
                    <a:stretch>
                      <a:fillRect/>
                    </a:stretch>
                  </pic:blipFill>
                  <pic:spPr>
                    <a:xfrm>
                      <a:off x="0" y="0"/>
                      <a:ext cx="5899150" cy="6497955"/>
                    </a:xfrm>
                    <a:prstGeom prst="rect">
                      <a:avLst/>
                    </a:prstGeom>
                    <a:noFill/>
                    <a:ln>
                      <a:noFill/>
                    </a:ln>
                  </pic:spPr>
                </pic:pic>
              </a:graphicData>
            </a:graphic>
          </wp:inline>
        </w:drawing>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25" w:afterAutospacing="0" w:line="360" w:lineRule="auto"/>
        <w:ind w:right="0"/>
        <w:jc w:val="both"/>
        <w:textAlignment w:val="auto"/>
        <w:rPr>
          <w:rFonts w:hint="eastAsia" w:ascii="楷体" w:hAnsi="楷体" w:eastAsia="楷体" w:cs="楷体"/>
          <w:b/>
          <w:bCs/>
          <w:strike w:val="0"/>
          <w:dstrike w:val="0"/>
          <w:kern w:val="2"/>
          <w:sz w:val="24"/>
          <w:szCs w:val="24"/>
          <w:lang w:val="en-US" w:eastAsia="zh-CN" w:bidi="ar-SA"/>
        </w:rPr>
      </w:pPr>
      <w:r>
        <w:drawing>
          <wp:inline distT="0" distB="0" distL="114300" distR="114300">
            <wp:extent cx="5904230" cy="2918460"/>
            <wp:effectExtent l="0" t="0" r="1270" b="15240"/>
            <wp:docPr id="5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8"/>
                    <pic:cNvPicPr>
                      <a:picLocks noChangeAspect="1"/>
                    </pic:cNvPicPr>
                  </pic:nvPicPr>
                  <pic:blipFill>
                    <a:blip r:embed="rId14"/>
                    <a:stretch>
                      <a:fillRect/>
                    </a:stretch>
                  </pic:blipFill>
                  <pic:spPr>
                    <a:xfrm>
                      <a:off x="0" y="0"/>
                      <a:ext cx="5904230" cy="291846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right="-61"/>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（3）国内方面</w:t>
      </w:r>
    </w:p>
    <w:p>
      <w:pPr>
        <w:keepNext w:val="0"/>
        <w:keepLines w:val="0"/>
        <w:pageBreakBefore w:val="0"/>
        <w:widowControl/>
        <w:kinsoku/>
        <w:wordWrap/>
        <w:overflowPunct/>
        <w:topLinePunct w:val="0"/>
        <w:autoSpaceDE/>
        <w:autoSpaceDN/>
        <w:bidi w:val="0"/>
        <w:adjustRightInd/>
        <w:snapToGrid/>
        <w:spacing w:line="360" w:lineRule="auto"/>
        <w:ind w:right="-61" w:firstLine="480" w:firstLineChars="200"/>
        <w:jc w:val="both"/>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产销方面，2023/24年榨季广西累计入榨甘蔗5118.01万吨，同比增加995.88万吨；产混合糖618.14万吨，同比增加91.11万吨；产糖率12.08%，同比下降0.71个百分点。截至6月底，广西累计销糖452.62万吨，同比增加40.99万吨；产销率73.22%，同比下降4.88个百分点。6月单月销糖41.80万吨，同比增加4.61万吨；食糖工业库存165.52万吨，同比增加50.12万吨。2023/24制糖期内蒙古最终产糖53.5万吨，同比减少4.8万吨。截至6月底累计销糖49.6万吨，同比增加0.62万吨；产销率92.71%，同比提高8.7%；工业库存3.9万吨，同比减少5.42万吨。关注即将发布的6月全国产销数据。</w:t>
      </w:r>
    </w:p>
    <w:p>
      <w:pPr>
        <w:keepNext w:val="0"/>
        <w:keepLines w:val="0"/>
        <w:pageBreakBefore w:val="0"/>
        <w:widowControl/>
        <w:kinsoku/>
        <w:wordWrap/>
        <w:overflowPunct/>
        <w:topLinePunct w:val="0"/>
        <w:autoSpaceDE/>
        <w:autoSpaceDN/>
        <w:bidi w:val="0"/>
        <w:adjustRightInd/>
        <w:snapToGrid/>
        <w:spacing w:line="360" w:lineRule="auto"/>
        <w:ind w:right="-61" w:firstLine="480" w:firstLineChars="200"/>
        <w:jc w:val="both"/>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据悉，船报显示7月到港进口糖量将会环比和同比大幅增加，预计将给糖价上方带来巨大压力，基差或逐步修复，关注现货端挺价意愿能否延续。</w:t>
      </w:r>
    </w:p>
    <w:p>
      <w:pPr>
        <w:keepNext w:val="0"/>
        <w:keepLines w:val="0"/>
        <w:pageBreakBefore w:val="0"/>
        <w:widowControl/>
        <w:kinsoku/>
        <w:wordWrap/>
        <w:overflowPunct/>
        <w:topLinePunct w:val="0"/>
        <w:autoSpaceDE/>
        <w:autoSpaceDN/>
        <w:bidi w:val="0"/>
        <w:adjustRightInd/>
        <w:snapToGrid/>
        <w:spacing w:line="360" w:lineRule="auto"/>
        <w:ind w:right="-61"/>
        <w:jc w:val="both"/>
        <w:textAlignment w:val="auto"/>
      </w:pPr>
      <w:bookmarkStart w:id="2" w:name="_GoBack"/>
      <w:bookmarkEnd w:id="2"/>
      <w:r>
        <w:drawing>
          <wp:inline distT="0" distB="0" distL="114300" distR="114300">
            <wp:extent cx="5900420" cy="2424430"/>
            <wp:effectExtent l="0" t="0" r="5080" b="13970"/>
            <wp:docPr id="6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
                    <pic:cNvPicPr>
                      <a:picLocks noChangeAspect="1"/>
                    </pic:cNvPicPr>
                  </pic:nvPicPr>
                  <pic:blipFill>
                    <a:blip r:embed="rId15"/>
                    <a:stretch>
                      <a:fillRect/>
                    </a:stretch>
                  </pic:blipFill>
                  <pic:spPr>
                    <a:xfrm>
                      <a:off x="0" y="0"/>
                      <a:ext cx="5900420" cy="2424430"/>
                    </a:xfrm>
                    <a:prstGeom prst="rect">
                      <a:avLst/>
                    </a:prstGeom>
                    <a:noFill/>
                    <a:ln>
                      <a:noFill/>
                    </a:ln>
                  </pic:spPr>
                </pic:pic>
              </a:graphicData>
            </a:graphic>
          </wp:inline>
        </w:drawing>
      </w:r>
      <w:r>
        <w:drawing>
          <wp:inline distT="0" distB="0" distL="114300" distR="114300">
            <wp:extent cx="5903595" cy="4770120"/>
            <wp:effectExtent l="0" t="0" r="1905" b="11430"/>
            <wp:docPr id="6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0"/>
                    <pic:cNvPicPr>
                      <a:picLocks noChangeAspect="1"/>
                    </pic:cNvPicPr>
                  </pic:nvPicPr>
                  <pic:blipFill>
                    <a:blip r:embed="rId16"/>
                    <a:stretch>
                      <a:fillRect/>
                    </a:stretch>
                  </pic:blipFill>
                  <pic:spPr>
                    <a:xfrm>
                      <a:off x="0" y="0"/>
                      <a:ext cx="5903595" cy="477012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right="-61"/>
        <w:textAlignment w:val="auto"/>
        <w:rPr>
          <w:b/>
          <w:bCs/>
        </w:rPr>
      </w:pPr>
      <w:r>
        <w:drawing>
          <wp:inline distT="0" distB="0" distL="114300" distR="114300">
            <wp:extent cx="5904865" cy="4484370"/>
            <wp:effectExtent l="0" t="0" r="635" b="11430"/>
            <wp:docPr id="6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1"/>
                    <pic:cNvPicPr>
                      <a:picLocks noChangeAspect="1"/>
                    </pic:cNvPicPr>
                  </pic:nvPicPr>
                  <pic:blipFill>
                    <a:blip r:embed="rId17"/>
                    <a:stretch>
                      <a:fillRect/>
                    </a:stretch>
                  </pic:blipFill>
                  <pic:spPr>
                    <a:xfrm>
                      <a:off x="0" y="0"/>
                      <a:ext cx="5904865" cy="448437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right="-61" w:firstLine="420" w:firstLineChars="200"/>
        <w:textAlignment w:val="auto"/>
      </w:pPr>
    </w:p>
    <w:p>
      <w:pPr>
        <w:keepNext w:val="0"/>
        <w:keepLines w:val="0"/>
        <w:pageBreakBefore w:val="0"/>
        <w:widowControl/>
        <w:kinsoku/>
        <w:wordWrap/>
        <w:overflowPunct/>
        <w:topLinePunct w:val="0"/>
        <w:autoSpaceDE/>
        <w:autoSpaceDN/>
        <w:bidi w:val="0"/>
        <w:adjustRightInd/>
        <w:snapToGrid/>
        <w:spacing w:line="360" w:lineRule="auto"/>
        <w:ind w:right="-61" w:firstLine="420" w:firstLineChars="200"/>
        <w:textAlignment w:val="auto"/>
      </w:pPr>
    </w:p>
    <w:p>
      <w:pPr>
        <w:spacing w:line="360" w:lineRule="auto"/>
        <w:ind w:right="-61" w:rightChars="-29"/>
        <w:jc w:val="both"/>
        <w:rPr>
          <w:rFonts w:hint="eastAsia" w:ascii="楷体" w:hAnsi="楷体" w:eastAsia="楷体" w:cs="楷体"/>
          <w:kern w:val="0"/>
          <w:sz w:val="24"/>
          <w:szCs w:val="24"/>
          <w:lang w:val="en-US" w:eastAsia="zh-CN" w:bidi="ar"/>
        </w:rPr>
      </w:pPr>
    </w:p>
    <w:p>
      <w:pPr>
        <w:keepNext w:val="0"/>
        <w:keepLines w:val="0"/>
        <w:pageBreakBefore w:val="0"/>
        <w:widowControl/>
        <w:kinsoku/>
        <w:wordWrap/>
        <w:overflowPunct/>
        <w:topLinePunct w:val="0"/>
        <w:autoSpaceDE/>
        <w:autoSpaceDN/>
        <w:bidi w:val="0"/>
        <w:adjustRightInd/>
        <w:snapToGrid/>
        <w:spacing w:line="360" w:lineRule="auto"/>
        <w:ind w:right="-61" w:firstLine="480" w:firstLineChars="200"/>
        <w:textAlignment w:val="auto"/>
        <w:rPr>
          <w:rFonts w:hint="default" w:ascii="楷体" w:hAnsi="楷体" w:eastAsia="楷体" w:cs="楷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楷体" w:hAnsi="楷体" w:eastAsia="楷体" w:cs="楷体"/>
          <w:kern w:val="0"/>
          <w:sz w:val="24"/>
          <w:szCs w:val="24"/>
          <w:lang w:val="en-US" w:eastAsia="zh-CN" w:bidi="ar-SA"/>
        </w:rPr>
      </w:pPr>
    </w:p>
    <w:p>
      <w:pPr>
        <w:bidi w:val="0"/>
        <w:rPr>
          <w:rFonts w:hint="eastAsia" w:ascii="楷体" w:hAnsi="楷体" w:eastAsia="楷体" w:cs="楷体"/>
          <w:b/>
          <w:bCs/>
          <w:color w:val="008080"/>
          <w:sz w:val="28"/>
          <w:szCs w:val="28"/>
          <w:lang w:val="en-US" w:eastAsia="zh-CN"/>
        </w:rPr>
        <w:sectPr>
          <w:pgSz w:w="11907" w:h="16160"/>
          <w:pgMar w:top="1418" w:right="1304" w:bottom="964" w:left="1304" w:header="601" w:footer="572" w:gutter="0"/>
          <w:cols w:space="720" w:num="1"/>
          <w:docGrid w:type="lines" w:linePitch="312" w:charSpace="0"/>
        </w:sectPr>
      </w:pPr>
    </w:p>
    <w:p>
      <w:pPr>
        <w:bidi w:val="0"/>
        <w:rPr>
          <w:rFonts w:hint="eastAsia" w:ascii="楷体" w:hAnsi="楷体" w:eastAsia="楷体" w:cs="楷体"/>
          <w:b/>
          <w:bCs/>
          <w:color w:val="008080"/>
          <w:sz w:val="28"/>
          <w:szCs w:val="28"/>
          <w:lang w:val="en-US" w:eastAsia="zh-CN"/>
        </w:rPr>
      </w:pPr>
      <w:r>
        <w:rPr>
          <w:rFonts w:hint="eastAsia" w:ascii="楷体" w:hAnsi="楷体" w:eastAsia="楷体" w:cs="楷体"/>
          <w:b/>
          <w:bCs/>
          <w:color w:val="008080"/>
          <w:sz w:val="28"/>
          <w:szCs w:val="28"/>
          <w:lang w:val="en-US" w:eastAsia="zh-CN"/>
        </w:rPr>
        <w:t xml:space="preserve">三、结论、观点 </w:t>
      </w:r>
    </w:p>
    <w:p>
      <w:pPr>
        <w:keepNext w:val="0"/>
        <w:keepLines w:val="0"/>
        <w:pageBreakBefore w:val="0"/>
        <w:widowControl/>
        <w:kinsoku/>
        <w:wordWrap/>
        <w:overflowPunct/>
        <w:topLinePunct w:val="0"/>
        <w:autoSpaceDE/>
        <w:autoSpaceDN/>
        <w:bidi w:val="0"/>
        <w:adjustRightInd/>
        <w:snapToGrid/>
        <w:spacing w:line="360" w:lineRule="auto"/>
        <w:ind w:right="-61" w:firstLine="480" w:firstLineChars="200"/>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国际方面，进入三季度，天气市话题将会越来越多，国际原糖或随着巴西进入压榨高峰期后逐步整理，国际贸易流的平衡状态将会继续转向趋宽松。基本面来看，巴西新季产量预计仍维持历史高水平，值得注意的是糖价的变动和糖厂的意愿或对本榨季末或再下一榨季的压榨产生一定影响。北半球食糖恢复性增产的预期也同样对远期国际糖价释放压力，预计远期国际糖价的重心将会进一步下移。</w:t>
      </w:r>
    </w:p>
    <w:p>
      <w:pPr>
        <w:keepNext w:val="0"/>
        <w:keepLines w:val="0"/>
        <w:pageBreakBefore w:val="0"/>
        <w:widowControl/>
        <w:kinsoku/>
        <w:wordWrap/>
        <w:overflowPunct/>
        <w:topLinePunct w:val="0"/>
        <w:autoSpaceDE/>
        <w:autoSpaceDN/>
        <w:bidi w:val="0"/>
        <w:adjustRightInd/>
        <w:snapToGrid/>
        <w:spacing w:line="360" w:lineRule="auto"/>
        <w:ind w:right="-61" w:firstLine="480" w:firstLineChars="200"/>
        <w:textAlignment w:val="auto"/>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国内方面，短期关注盘面技术上压力位，基本面来看，7月中后旬进口糖将大幅增量到港，密切关注现货端挺价意愿能否延续，预计基差将得到一定修复。三季度中后期远期供应预期充足，糖价将回归基本面逻辑。中长期来看，国内外糖价重心或将不同期逐步下移，随着后期国内食糖供应的增加，长线仍维持逢高沽空糖价看法不变。</w:t>
      </w:r>
    </w:p>
    <w:p>
      <w:pPr>
        <w:keepNext w:val="0"/>
        <w:keepLines w:val="0"/>
        <w:pageBreakBefore w:val="0"/>
        <w:widowControl/>
        <w:kinsoku/>
        <w:wordWrap/>
        <w:overflowPunct/>
        <w:topLinePunct w:val="0"/>
        <w:autoSpaceDE/>
        <w:autoSpaceDN/>
        <w:bidi w:val="0"/>
        <w:adjustRightInd/>
        <w:snapToGrid/>
        <w:spacing w:line="360" w:lineRule="auto"/>
        <w:ind w:right="-61"/>
        <w:textAlignment w:val="auto"/>
        <w:rPr>
          <w:rFonts w:hint="default" w:ascii="楷体" w:hAnsi="楷体" w:eastAsia="楷体" w:cs="楷体"/>
          <w:sz w:val="24"/>
          <w:szCs w:val="24"/>
          <w:lang w:val="en-US" w:eastAsia="zh-CN"/>
        </w:rPr>
      </w:pPr>
    </w:p>
    <w:p>
      <w:pPr>
        <w:keepNext w:val="0"/>
        <w:keepLines w:val="0"/>
        <w:pageBreakBefore w:val="0"/>
        <w:widowControl/>
        <w:kinsoku/>
        <w:wordWrap/>
        <w:overflowPunct/>
        <w:topLinePunct w:val="0"/>
        <w:autoSpaceDE/>
        <w:autoSpaceDN/>
        <w:bidi w:val="0"/>
        <w:adjustRightInd/>
        <w:snapToGrid/>
        <w:spacing w:line="360" w:lineRule="auto"/>
        <w:ind w:right="-61" w:firstLine="480" w:firstLineChars="200"/>
        <w:textAlignment w:val="auto"/>
        <w:rPr>
          <w:rFonts w:hint="eastAsia" w:ascii="楷体" w:hAnsi="楷体" w:eastAsia="楷体" w:cs="楷体"/>
          <w:sz w:val="24"/>
          <w:szCs w:val="24"/>
          <w:lang w:val="en-US" w:eastAsia="zh-CN"/>
        </w:rPr>
      </w:pPr>
    </w:p>
    <w:p>
      <w:pPr>
        <w:keepNext w:val="0"/>
        <w:keepLines w:val="0"/>
        <w:pageBreakBefore w:val="0"/>
        <w:widowControl/>
        <w:kinsoku/>
        <w:wordWrap/>
        <w:overflowPunct/>
        <w:topLinePunct w:val="0"/>
        <w:autoSpaceDE/>
        <w:autoSpaceDN/>
        <w:bidi w:val="0"/>
        <w:adjustRightInd/>
        <w:snapToGrid/>
        <w:spacing w:line="360" w:lineRule="auto"/>
        <w:ind w:right="-61"/>
        <w:jc w:val="both"/>
        <w:textAlignment w:val="auto"/>
        <w:rPr>
          <w:rFonts w:hint="eastAsia" w:ascii="楷体" w:hAnsi="楷体" w:eastAsia="楷体" w:cs="楷体"/>
          <w:kern w:val="2"/>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uto"/>
        <w:ind w:right="0"/>
        <w:jc w:val="both"/>
        <w:rPr>
          <w:rFonts w:hint="eastAsia" w:ascii="楷体" w:hAnsi="楷体" w:eastAsia="楷体" w:cs="楷体"/>
          <w:kern w:val="2"/>
          <w:sz w:val="24"/>
          <w:szCs w:val="24"/>
          <w:lang w:val="en-US" w:eastAsia="zh-CN"/>
        </w:rPr>
      </w:pPr>
    </w:p>
    <w:p>
      <w:pPr>
        <w:spacing w:line="360" w:lineRule="auto"/>
        <w:ind w:firstLine="480" w:firstLineChars="200"/>
        <w:jc w:val="both"/>
        <w:rPr>
          <w:rFonts w:hint="eastAsia" w:ascii="楷体" w:hAnsi="楷体" w:eastAsia="楷体" w:cs="楷体"/>
          <w:kern w:val="2"/>
          <w:sz w:val="24"/>
          <w:szCs w:val="24"/>
          <w:lang w:val="en-US" w:eastAsia="zh-CN"/>
        </w:rPr>
      </w:pPr>
    </w:p>
    <w:p>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楷体" w:hAnsi="楷体" w:eastAsia="楷体" w:cs="楷体"/>
          <w:kern w:val="2"/>
          <w:sz w:val="24"/>
          <w:szCs w:val="24"/>
          <w:lang w:val="en-US" w:eastAsia="zh-CN"/>
        </w:rPr>
      </w:pPr>
      <w:r>
        <w:rPr>
          <w:rFonts w:hint="eastAsia" w:ascii="楷体" w:hAnsi="楷体" w:eastAsia="楷体" w:cs="楷体"/>
          <w:kern w:val="2"/>
          <w:sz w:val="24"/>
          <w:szCs w:val="24"/>
        </w:rPr>
        <w:t>撰稿人：</w:t>
      </w:r>
      <w:r>
        <w:rPr>
          <w:rFonts w:hint="eastAsia" w:ascii="楷体" w:hAnsi="楷体" w:eastAsia="楷体" w:cs="楷体"/>
          <w:kern w:val="2"/>
          <w:sz w:val="24"/>
          <w:szCs w:val="24"/>
          <w:lang w:val="en-US" w:eastAsia="zh-CN"/>
        </w:rPr>
        <w:t>新湖农产品组</w:t>
      </w:r>
    </w:p>
    <w:p>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楷体" w:hAnsi="楷体" w:eastAsia="楷体" w:cs="楷体"/>
          <w:kern w:val="2"/>
          <w:sz w:val="24"/>
          <w:szCs w:val="24"/>
          <w:lang w:val="en-US" w:eastAsia="zh-CN"/>
        </w:rPr>
      </w:pPr>
    </w:p>
    <w:p>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楷体" w:hAnsi="楷体" w:eastAsia="楷体" w:cs="楷体"/>
          <w:kern w:val="2"/>
          <w:sz w:val="24"/>
          <w:szCs w:val="24"/>
        </w:rPr>
      </w:pPr>
      <w:r>
        <w:rPr>
          <w:rFonts w:hint="eastAsia" w:ascii="楷体" w:hAnsi="楷体" w:eastAsia="楷体" w:cs="楷体"/>
          <w:kern w:val="2"/>
          <w:sz w:val="24"/>
          <w:szCs w:val="24"/>
        </w:rPr>
        <w:t>陈燕杰</w:t>
      </w:r>
    </w:p>
    <w:p>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楷体" w:hAnsi="楷体" w:eastAsia="楷体" w:cs="楷体"/>
          <w:kern w:val="2"/>
          <w:sz w:val="24"/>
          <w:szCs w:val="24"/>
        </w:rPr>
      </w:pPr>
      <w:r>
        <w:rPr>
          <w:rFonts w:hint="eastAsia" w:ascii="楷体" w:hAnsi="楷体" w:eastAsia="楷体" w:cs="楷体"/>
          <w:kern w:val="2"/>
          <w:sz w:val="24"/>
          <w:szCs w:val="24"/>
        </w:rPr>
        <w:t>执业资格号：F3024535</w:t>
      </w:r>
    </w:p>
    <w:p>
      <w:pPr>
        <w:keepNext w:val="0"/>
        <w:keepLines w:val="0"/>
        <w:pageBreakBefore w:val="0"/>
        <w:kinsoku/>
        <w:wordWrap/>
        <w:overflowPunct/>
        <w:topLinePunct w:val="0"/>
        <w:autoSpaceDE/>
        <w:autoSpaceDN/>
        <w:bidi w:val="0"/>
        <w:adjustRightInd/>
        <w:snapToGrid/>
        <w:spacing w:line="360" w:lineRule="auto"/>
        <w:ind w:right="-874" w:firstLine="0" w:firstLineChars="0"/>
        <w:jc w:val="both"/>
        <w:textAlignment w:val="auto"/>
        <w:rPr>
          <w:rFonts w:hint="eastAsia" w:ascii="楷体" w:hAnsi="楷体" w:eastAsia="楷体" w:cs="楷体"/>
          <w:kern w:val="2"/>
          <w:sz w:val="24"/>
          <w:szCs w:val="24"/>
        </w:rPr>
      </w:pPr>
      <w:r>
        <w:rPr>
          <w:rFonts w:hint="eastAsia" w:ascii="楷体" w:hAnsi="楷体" w:eastAsia="楷体" w:cs="楷体"/>
          <w:kern w:val="2"/>
          <w:sz w:val="24"/>
          <w:szCs w:val="24"/>
        </w:rPr>
        <w:t>投资咨询号：Z0012135</w:t>
      </w:r>
    </w:p>
    <w:p>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楷体" w:hAnsi="楷体" w:eastAsia="楷体" w:cs="楷体"/>
          <w:kern w:val="2"/>
          <w:sz w:val="24"/>
          <w:szCs w:val="24"/>
        </w:rPr>
      </w:pPr>
      <w:r>
        <w:rPr>
          <w:rFonts w:hint="eastAsia" w:ascii="楷体" w:hAnsi="楷体" w:eastAsia="楷体" w:cs="楷体"/>
          <w:kern w:val="2"/>
          <w:sz w:val="24"/>
          <w:szCs w:val="24"/>
        </w:rPr>
        <w:t>孙昭君</w:t>
      </w:r>
    </w:p>
    <w:p>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楷体" w:hAnsi="楷体" w:eastAsia="楷体" w:cs="楷体"/>
          <w:kern w:val="2"/>
          <w:sz w:val="24"/>
          <w:szCs w:val="24"/>
        </w:rPr>
      </w:pPr>
      <w:r>
        <w:rPr>
          <w:rFonts w:hint="eastAsia" w:ascii="楷体" w:hAnsi="楷体" w:eastAsia="楷体" w:cs="楷体"/>
          <w:kern w:val="2"/>
          <w:sz w:val="24"/>
          <w:szCs w:val="24"/>
        </w:rPr>
        <w:t>执业资格号：F3047243</w:t>
      </w:r>
    </w:p>
    <w:p>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楷体" w:hAnsi="楷体" w:eastAsia="楷体" w:cs="楷体"/>
          <w:kern w:val="2"/>
          <w:sz w:val="24"/>
          <w:szCs w:val="24"/>
        </w:rPr>
      </w:pPr>
      <w:r>
        <w:rPr>
          <w:rFonts w:hint="eastAsia" w:ascii="楷体" w:hAnsi="楷体" w:eastAsia="楷体" w:cs="楷体"/>
          <w:kern w:val="2"/>
          <w:sz w:val="24"/>
          <w:szCs w:val="24"/>
        </w:rPr>
        <w:t>投资咨询号：Z0015503</w:t>
      </w:r>
    </w:p>
    <w:p>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楷体" w:hAnsi="楷体" w:eastAsia="楷体" w:cs="楷体"/>
          <w:kern w:val="2"/>
          <w:sz w:val="24"/>
          <w:szCs w:val="24"/>
        </w:rPr>
      </w:pPr>
      <w:r>
        <w:rPr>
          <w:rFonts w:hint="eastAsia" w:ascii="楷体" w:hAnsi="楷体" w:eastAsia="楷体" w:cs="楷体"/>
          <w:kern w:val="2"/>
          <w:sz w:val="24"/>
          <w:szCs w:val="24"/>
        </w:rPr>
        <w:t>电话：0411-84807839</w:t>
      </w:r>
    </w:p>
    <w:p>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楷体" w:hAnsi="楷体" w:eastAsia="楷体" w:cs="楷体"/>
          <w:kern w:val="2"/>
          <w:sz w:val="24"/>
          <w:szCs w:val="24"/>
        </w:rPr>
      </w:pPr>
    </w:p>
    <w:p>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楷体" w:hAnsi="楷体" w:eastAsia="楷体" w:cs="楷体"/>
          <w:sz w:val="24"/>
          <w:szCs w:val="24"/>
        </w:rPr>
      </w:pPr>
      <w:r>
        <w:rPr>
          <w:rFonts w:hint="eastAsia" w:ascii="楷体" w:hAnsi="楷体" w:eastAsia="楷体" w:cs="楷体"/>
          <w:sz w:val="24"/>
          <w:szCs w:val="24"/>
        </w:rPr>
        <w:t>撰写日期：202</w:t>
      </w:r>
      <w:r>
        <w:rPr>
          <w:rFonts w:hint="eastAsia" w:ascii="楷体" w:hAnsi="楷体" w:eastAsia="楷体" w:cs="楷体"/>
          <w:sz w:val="24"/>
          <w:szCs w:val="24"/>
          <w:lang w:val="en-US" w:eastAsia="zh-CN"/>
        </w:rPr>
        <w:t>4</w:t>
      </w:r>
      <w:r>
        <w:rPr>
          <w:rFonts w:hint="eastAsia" w:ascii="楷体" w:hAnsi="楷体" w:eastAsia="楷体" w:cs="楷体"/>
          <w:sz w:val="24"/>
          <w:szCs w:val="24"/>
        </w:rPr>
        <w:t>年</w:t>
      </w:r>
      <w:r>
        <w:rPr>
          <w:rFonts w:hint="eastAsia" w:ascii="楷体" w:hAnsi="楷体" w:eastAsia="楷体" w:cs="楷体"/>
          <w:sz w:val="24"/>
          <w:szCs w:val="24"/>
          <w:lang w:val="en-US" w:eastAsia="zh-CN"/>
        </w:rPr>
        <w:t>07</w:t>
      </w:r>
      <w:r>
        <w:rPr>
          <w:rFonts w:hint="eastAsia" w:ascii="楷体" w:hAnsi="楷体" w:eastAsia="楷体" w:cs="楷体"/>
          <w:sz w:val="24"/>
          <w:szCs w:val="24"/>
        </w:rPr>
        <w:t>月</w:t>
      </w:r>
      <w:r>
        <w:rPr>
          <w:rFonts w:hint="eastAsia" w:ascii="楷体" w:hAnsi="楷体" w:eastAsia="楷体" w:cs="楷体"/>
          <w:sz w:val="24"/>
          <w:szCs w:val="24"/>
          <w:lang w:val="en-US" w:eastAsia="zh-CN"/>
        </w:rPr>
        <w:t>05</w:t>
      </w:r>
      <w:r>
        <w:rPr>
          <w:rFonts w:hint="eastAsia" w:ascii="楷体" w:hAnsi="楷体" w:eastAsia="楷体" w:cs="楷体"/>
          <w:sz w:val="24"/>
          <w:szCs w:val="24"/>
        </w:rPr>
        <w:t>日</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Style w:val="9"/>
          <w:rFonts w:hint="eastAsia" w:ascii="楷体" w:hAnsi="楷体" w:eastAsia="楷体" w:cs="楷体"/>
          <w:sz w:val="24"/>
          <w:szCs w:val="24"/>
        </w:rPr>
      </w:pPr>
      <w:r>
        <w:rPr>
          <w:rStyle w:val="9"/>
          <w:rFonts w:hint="eastAsia" w:ascii="楷体" w:hAnsi="楷体" w:eastAsia="楷体" w:cs="楷体"/>
          <w:sz w:val="24"/>
          <w:szCs w:val="24"/>
        </w:rPr>
        <w:t>审核人：刘英杰</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楷体" w:hAnsi="楷体" w:eastAsia="楷体" w:cs="楷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楷体" w:hAnsi="楷体" w:eastAsia="楷体" w:cs="楷体"/>
          <w:b/>
          <w:sz w:val="28"/>
          <w:szCs w:val="28"/>
        </w:rPr>
        <w:sectPr>
          <w:pgSz w:w="11907" w:h="16160"/>
          <w:pgMar w:top="1418" w:right="1304" w:bottom="964" w:left="1304" w:header="601" w:footer="572" w:gutter="0"/>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楷体" w:hAnsi="楷体" w:eastAsia="楷体" w:cs="楷体"/>
          <w:b/>
          <w:sz w:val="28"/>
          <w:szCs w:val="28"/>
        </w:rPr>
      </w:pPr>
      <w:r>
        <w:rPr>
          <w:rFonts w:hint="eastAsia" w:ascii="楷体" w:hAnsi="楷体" w:eastAsia="楷体" w:cs="楷体"/>
          <w:b/>
          <w:sz w:val="28"/>
          <w:szCs w:val="28"/>
        </w:rPr>
        <w:t>免责声明：</w:t>
      </w:r>
    </w:p>
    <w:p>
      <w:pPr>
        <w:spacing w:line="360" w:lineRule="auto"/>
        <w:ind w:right="-61" w:firstLine="560"/>
        <w:jc w:val="both"/>
        <w:rPr>
          <w:rFonts w:hint="eastAsia" w:ascii="楷体" w:hAnsi="楷体" w:eastAsia="楷体" w:cs="楷体"/>
          <w:kern w:val="2"/>
          <w:sz w:val="24"/>
          <w:szCs w:val="24"/>
        </w:rPr>
      </w:pPr>
      <w:r>
        <w:rPr>
          <w:rFonts w:hint="eastAsia" w:ascii="楷体" w:hAnsi="楷体" w:eastAsia="楷体" w:cs="楷体"/>
          <w:kern w:val="2"/>
          <w:sz w:val="24"/>
          <w:szCs w:val="24"/>
        </w:rPr>
        <w:t>本报告由新湖期货股份有限公司（以下简称新湖期货，投资咨询业务许可证号32090000）提供，无意针对或打算违反任何地区、国家、城市或其他法律管辖区域内的法律法规。除非另有说明，所有本报告的版权属于新湖期货。未经新湖期货事先书面授权许可，任何机构和个人不得以任何形式翻版、复制、发布。如引用、刊发，须注明出处为新湖期货股份有限公司，且不得对本报告进行有悖原意的引用、删节和修改。本报告的信息均来源于公开资料和/或调研资料，所载的全部内容及观点公正，但不保证其内容的准确性和完整性。投资者不应单纯依靠本报告而取代个人的独立判断。本报告所载内容反映的是新湖期货在最初发表本报告日期当日的判断，新湖期货可发出其他与本报告所载内容不一致或有不同结论的报告，但新湖期货没有义务和责任去及时更新本报告涉及的内容并通知更新情况。新湖期货不对因投资者使用本报告而导致的损失负任何责任。新湖期货不需要采取任何行动以确保本报告涉及的内容适合于投资者，新湖期货建议投资者独自进行投资判断。本报告并不构成投资、法律、会计、税务建议或担保任何内容适合投资者，本报告不构成给予投资者投资咨询建议。研究报告全部内容不代表协会观点，仅供交流使用，不构成任何投资建议。</w:t>
      </w:r>
    </w:p>
    <w:p>
      <w:pPr>
        <w:pStyle w:val="10"/>
        <w:spacing w:line="360" w:lineRule="auto"/>
        <w:ind w:left="1680" w:right="-61" w:firstLine="0"/>
        <w:jc w:val="both"/>
        <w:rPr>
          <w:rFonts w:hint="eastAsia" w:ascii="楷体" w:hAnsi="楷体" w:eastAsia="楷体" w:cs="楷体"/>
          <w:bCs/>
          <w:sz w:val="28"/>
          <w:szCs w:val="28"/>
        </w:rPr>
      </w:pPr>
    </w:p>
    <w:p>
      <w:pPr>
        <w:spacing w:line="360" w:lineRule="auto"/>
        <w:jc w:val="both"/>
        <w:rPr>
          <w:rFonts w:hint="eastAsia" w:ascii="楷体" w:hAnsi="楷体" w:eastAsia="楷体" w:cs="楷体"/>
        </w:rPr>
      </w:pPr>
    </w:p>
    <w:p>
      <w:pPr>
        <w:spacing w:line="360" w:lineRule="auto"/>
        <w:jc w:val="both"/>
        <w:rPr>
          <w:rFonts w:hint="eastAsia" w:ascii="楷体" w:hAnsi="楷体" w:eastAsia="楷体" w:cs="楷体"/>
        </w:rPr>
      </w:pPr>
    </w:p>
    <w:p>
      <w:pPr>
        <w:spacing w:line="360" w:lineRule="auto"/>
        <w:jc w:val="both"/>
        <w:rPr>
          <w:rFonts w:hint="eastAsia" w:ascii="楷体" w:hAnsi="楷体" w:eastAsia="楷体" w:cs="楷体"/>
        </w:rPr>
      </w:pPr>
    </w:p>
    <w:p>
      <w:pPr>
        <w:spacing w:line="360" w:lineRule="auto"/>
        <w:jc w:val="both"/>
        <w:rPr>
          <w:rFonts w:hint="eastAsia" w:ascii="楷体" w:hAnsi="楷体" w:eastAsia="楷体" w:cs="楷体"/>
        </w:rPr>
      </w:pPr>
    </w:p>
    <w:bookmarkEnd w:id="0"/>
    <w:bookmarkEnd w:id="1"/>
    <w:p>
      <w:pPr>
        <w:rPr>
          <w:rFonts w:hint="eastAsia" w:ascii="楷体" w:hAnsi="楷体" w:eastAsia="楷体" w:cs="楷体"/>
        </w:rPr>
      </w:pPr>
    </w:p>
    <w:p/>
    <w:p/>
    <w:p/>
    <w:p/>
    <w:p/>
    <w:p/>
    <w:p/>
    <w:p/>
    <w:p/>
    <w:p/>
    <w:p/>
    <w:sectPr>
      <w:headerReference r:id="rId5" w:type="default"/>
      <w:footerReference r:id="rId6" w:type="default"/>
      <w:pgSz w:w="11907" w:h="16160"/>
      <w:pgMar w:top="1418" w:right="1304" w:bottom="964" w:left="1304" w:header="601" w:footer="57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黑体简体">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332" w:wrap="around" w:vAnchor="text" w:hAnchor="page" w:x="10845" w:y="-34"/>
      <w:pBdr>
        <w:top w:val="single" w:color="000000" w:sz="6" w:space="1"/>
        <w:left w:val="single" w:color="000000" w:sz="6" w:space="4"/>
        <w:bottom w:val="single" w:color="000000" w:sz="6" w:space="1"/>
        <w:right w:val="single" w:color="000000" w:sz="6" w:space="4"/>
      </w:pBdr>
      <w:jc w:val="center"/>
      <w:rPr>
        <w:rStyle w:val="8"/>
        <w:rFonts w:ascii="黑体" w:eastAsia="黑体"/>
        <w:sz w:val="22"/>
        <w:szCs w:val="22"/>
      </w:rPr>
    </w:pPr>
    <w:r>
      <w:fldChar w:fldCharType="begin"/>
    </w:r>
    <w:r>
      <w:rPr>
        <w:rFonts w:hint="eastAsia"/>
      </w:rPr>
      <w:instrText xml:space="preserve">PAGE  \* MERGEFORMAT</w:instrText>
    </w:r>
    <w:r>
      <w:fldChar w:fldCharType="separate"/>
    </w:r>
    <w:r>
      <w:rPr>
        <w:rStyle w:val="8"/>
        <w:rFonts w:ascii="黑体" w:eastAsia="黑体" w:cs="黑体"/>
        <w:sz w:val="22"/>
        <w:szCs w:val="22"/>
      </w:rPr>
      <w:t>11</w:t>
    </w:r>
    <w:r>
      <w:rPr>
        <w:rStyle w:val="8"/>
        <w:rFonts w:ascii="黑体" w:eastAsia="黑体" w:cs="黑体"/>
        <w:sz w:val="22"/>
        <w:szCs w:val="22"/>
      </w:rPr>
      <w:fldChar w:fldCharType="end"/>
    </w:r>
  </w:p>
  <w:p>
    <w:pPr>
      <w:pStyle w:val="3"/>
      <w:ind w:right="-81" w:firstLine="360"/>
      <w:jc w:val="right"/>
      <w:rPr>
        <w:rFonts w:ascii="方正黑体简体" w:eastAsia="方正黑体简体" w:cs="方正黑体简体"/>
        <w:sz w:val="22"/>
        <w:szCs w:val="22"/>
      </w:rPr>
    </w:pPr>
    <w:r>
      <w:rPr>
        <w:rFonts w:ascii="方正黑体简体" w:eastAsia="方正黑体简体" w:cs="方正黑体简体"/>
        <w:sz w:val="22"/>
        <w:szCs w:val="22"/>
      </w:rPr>
      <w:t>XINHU  REPORT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332" w:wrap="around" w:vAnchor="text" w:hAnchor="page" w:x="10845" w:y="-34"/>
      <w:pBdr>
        <w:top w:val="single" w:color="000000" w:sz="6" w:space="1"/>
        <w:left w:val="single" w:color="000000" w:sz="6" w:space="4"/>
        <w:bottom w:val="single" w:color="000000" w:sz="6" w:space="1"/>
        <w:right w:val="single" w:color="000000" w:sz="6" w:space="4"/>
      </w:pBdr>
      <w:jc w:val="center"/>
      <w:rPr>
        <w:rStyle w:val="8"/>
        <w:rFonts w:ascii="黑体" w:eastAsia="黑体"/>
        <w:sz w:val="22"/>
        <w:szCs w:val="22"/>
      </w:rPr>
    </w:pPr>
    <w:r>
      <w:fldChar w:fldCharType="begin"/>
    </w:r>
    <w:r>
      <w:rPr>
        <w:rFonts w:hint="eastAsia"/>
      </w:rPr>
      <w:instrText xml:space="preserve">PAGE  \* MERGEFORMAT</w:instrText>
    </w:r>
    <w:r>
      <w:fldChar w:fldCharType="separate"/>
    </w:r>
    <w:r>
      <w:rPr>
        <w:rStyle w:val="8"/>
        <w:rFonts w:ascii="黑体" w:eastAsia="黑体" w:cs="黑体"/>
        <w:sz w:val="22"/>
        <w:szCs w:val="22"/>
      </w:rPr>
      <w:t>11</w:t>
    </w:r>
    <w:r>
      <w:rPr>
        <w:rStyle w:val="8"/>
        <w:rFonts w:ascii="黑体" w:eastAsia="黑体" w:cs="黑体"/>
        <w:sz w:val="22"/>
        <w:szCs w:val="22"/>
      </w:rPr>
      <w:fldChar w:fldCharType="end"/>
    </w:r>
  </w:p>
  <w:p>
    <w:pPr>
      <w:pStyle w:val="3"/>
      <w:ind w:right="-81" w:firstLine="360"/>
      <w:jc w:val="right"/>
      <w:rPr>
        <w:rFonts w:ascii="方正黑体简体" w:eastAsia="方正黑体简体" w:cs="方正黑体简体"/>
        <w:sz w:val="22"/>
        <w:szCs w:val="22"/>
      </w:rPr>
    </w:pPr>
    <w:r>
      <w:rPr>
        <w:rFonts w:ascii="方正黑体简体" w:eastAsia="方正黑体简体" w:cs="方正黑体简体"/>
        <w:sz w:val="22"/>
        <w:szCs w:val="22"/>
      </w:rPr>
      <w:t>XINHU  REPORT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20"/>
      </w:rPr>
      <w:drawing>
        <wp:inline distT="0" distB="0" distL="114300" distR="114300">
          <wp:extent cx="5902325" cy="247015"/>
          <wp:effectExtent l="0" t="0" r="3175" b="635"/>
          <wp:docPr id="41" name="图片 3" descr="说明: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descr="说明: 1"/>
                  <pic:cNvPicPr>
                    <a:picLocks noChangeAspect="1"/>
                  </pic:cNvPicPr>
                </pic:nvPicPr>
                <pic:blipFill>
                  <a:blip r:embed="rId1"/>
                  <a:stretch>
                    <a:fillRect/>
                  </a:stretch>
                </pic:blipFill>
                <pic:spPr>
                  <a:xfrm>
                    <a:off x="0" y="0"/>
                    <a:ext cx="5902325" cy="247015"/>
                  </a:xfrm>
                  <a:prstGeom prst="rect">
                    <a:avLst/>
                  </a:prstGeom>
                  <a:solidFill>
                    <a:srgbClr val="FFFFFF"/>
                  </a:solidFill>
                  <a:ln>
                    <a:noFill/>
                  </a:ln>
                </pic:spPr>
              </pic:pic>
            </a:graphicData>
          </a:graphic>
        </wp:inline>
      </w:drawing>
    </w:r>
  </w:p>
  <w:p>
    <w:pPr>
      <w:pStyle w:val="4"/>
      <w:pBdr>
        <w:bottom w:val="none" w:color="auto" w:sz="0" w:space="0"/>
      </w:pBdr>
      <w:ind w:left="542" w:hanging="54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20"/>
      </w:rPr>
      <w:drawing>
        <wp:inline distT="0" distB="0" distL="114300" distR="114300">
          <wp:extent cx="5902325" cy="247015"/>
          <wp:effectExtent l="0" t="0" r="3175" b="635"/>
          <wp:docPr id="16" name="图片 3" descr="说明: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说明: 1"/>
                  <pic:cNvPicPr>
                    <a:picLocks noChangeAspect="1"/>
                  </pic:cNvPicPr>
                </pic:nvPicPr>
                <pic:blipFill>
                  <a:blip r:embed="rId1"/>
                  <a:stretch>
                    <a:fillRect/>
                  </a:stretch>
                </pic:blipFill>
                <pic:spPr>
                  <a:xfrm>
                    <a:off x="0" y="0"/>
                    <a:ext cx="5902325" cy="247015"/>
                  </a:xfrm>
                  <a:prstGeom prst="rect">
                    <a:avLst/>
                  </a:prstGeom>
                  <a:solidFill>
                    <a:srgbClr val="FFFFFF"/>
                  </a:solidFill>
                  <a:ln>
                    <a:noFill/>
                  </a:ln>
                </pic:spPr>
              </pic:pic>
            </a:graphicData>
          </a:graphic>
        </wp:inline>
      </w:drawing>
    </w:r>
  </w:p>
  <w:p>
    <w:pPr>
      <w:pStyle w:val="4"/>
      <w:pBdr>
        <w:bottom w:val="none" w:color="auto" w:sz="0" w:space="0"/>
      </w:pBdr>
      <w:ind w:left="542" w:hanging="54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E42460C"/>
    <w:rsid w:val="02323BAA"/>
    <w:rsid w:val="02B150BD"/>
    <w:rsid w:val="036A38A7"/>
    <w:rsid w:val="038668B4"/>
    <w:rsid w:val="0536523E"/>
    <w:rsid w:val="05646EE5"/>
    <w:rsid w:val="06417DE6"/>
    <w:rsid w:val="09072F88"/>
    <w:rsid w:val="0A616013"/>
    <w:rsid w:val="0A623A94"/>
    <w:rsid w:val="0ABE63AC"/>
    <w:rsid w:val="0B772A1C"/>
    <w:rsid w:val="0BF30382"/>
    <w:rsid w:val="0D5D37FD"/>
    <w:rsid w:val="0DA306EE"/>
    <w:rsid w:val="0E80265B"/>
    <w:rsid w:val="0F02192F"/>
    <w:rsid w:val="115B4F87"/>
    <w:rsid w:val="12146D80"/>
    <w:rsid w:val="12E769C4"/>
    <w:rsid w:val="12FF5637"/>
    <w:rsid w:val="1308741E"/>
    <w:rsid w:val="13FF2FDC"/>
    <w:rsid w:val="148A09C2"/>
    <w:rsid w:val="14A44AAD"/>
    <w:rsid w:val="15D90414"/>
    <w:rsid w:val="177443DA"/>
    <w:rsid w:val="178A3AD7"/>
    <w:rsid w:val="18455C50"/>
    <w:rsid w:val="18907B2D"/>
    <w:rsid w:val="18951461"/>
    <w:rsid w:val="194E6270"/>
    <w:rsid w:val="19946E05"/>
    <w:rsid w:val="1AF9414E"/>
    <w:rsid w:val="1B181180"/>
    <w:rsid w:val="1C121954"/>
    <w:rsid w:val="1CB2349F"/>
    <w:rsid w:val="1E42460C"/>
    <w:rsid w:val="205A0DA2"/>
    <w:rsid w:val="20B758B9"/>
    <w:rsid w:val="20F40FA1"/>
    <w:rsid w:val="21001530"/>
    <w:rsid w:val="2141581D"/>
    <w:rsid w:val="219A172E"/>
    <w:rsid w:val="219B71B0"/>
    <w:rsid w:val="223076A3"/>
    <w:rsid w:val="22461847"/>
    <w:rsid w:val="232A313F"/>
    <w:rsid w:val="24805C6F"/>
    <w:rsid w:val="25707940"/>
    <w:rsid w:val="277D7855"/>
    <w:rsid w:val="28C0541F"/>
    <w:rsid w:val="29200286"/>
    <w:rsid w:val="2A621B97"/>
    <w:rsid w:val="2ABA0028"/>
    <w:rsid w:val="2C250A37"/>
    <w:rsid w:val="2D2965B1"/>
    <w:rsid w:val="2D373C3F"/>
    <w:rsid w:val="2F324CFE"/>
    <w:rsid w:val="31982EEE"/>
    <w:rsid w:val="32262752"/>
    <w:rsid w:val="325C2C2C"/>
    <w:rsid w:val="36DA6785"/>
    <w:rsid w:val="372D1296"/>
    <w:rsid w:val="37495CB1"/>
    <w:rsid w:val="389C366B"/>
    <w:rsid w:val="3A564FC6"/>
    <w:rsid w:val="3C111A19"/>
    <w:rsid w:val="3E933095"/>
    <w:rsid w:val="3E9F7AC9"/>
    <w:rsid w:val="3EA55255"/>
    <w:rsid w:val="3F690816"/>
    <w:rsid w:val="422538A1"/>
    <w:rsid w:val="43E715F4"/>
    <w:rsid w:val="45383C57"/>
    <w:rsid w:val="45AA1AB9"/>
    <w:rsid w:val="46263EBC"/>
    <w:rsid w:val="46845740"/>
    <w:rsid w:val="47DA0270"/>
    <w:rsid w:val="48013A6B"/>
    <w:rsid w:val="4AAC5B10"/>
    <w:rsid w:val="4B0C5530"/>
    <w:rsid w:val="4B416E1F"/>
    <w:rsid w:val="4C7F6D10"/>
    <w:rsid w:val="4D50200A"/>
    <w:rsid w:val="4E047D31"/>
    <w:rsid w:val="4E0D199A"/>
    <w:rsid w:val="4E4D41DD"/>
    <w:rsid w:val="4EB54731"/>
    <w:rsid w:val="4EDC0D6D"/>
    <w:rsid w:val="506875FB"/>
    <w:rsid w:val="51DE0461"/>
    <w:rsid w:val="535321C1"/>
    <w:rsid w:val="53676C63"/>
    <w:rsid w:val="55A325CC"/>
    <w:rsid w:val="561220C4"/>
    <w:rsid w:val="561B7151"/>
    <w:rsid w:val="56D67884"/>
    <w:rsid w:val="57F4005C"/>
    <w:rsid w:val="589C4857"/>
    <w:rsid w:val="594E3790"/>
    <w:rsid w:val="595D3DAB"/>
    <w:rsid w:val="59803066"/>
    <w:rsid w:val="5A582D49"/>
    <w:rsid w:val="5A7F7385"/>
    <w:rsid w:val="5C147E18"/>
    <w:rsid w:val="5C7C3948"/>
    <w:rsid w:val="5CB85D2B"/>
    <w:rsid w:val="5D277664"/>
    <w:rsid w:val="5E6A0F75"/>
    <w:rsid w:val="5EC4038A"/>
    <w:rsid w:val="5FAF7F87"/>
    <w:rsid w:val="60021F8F"/>
    <w:rsid w:val="616805DD"/>
    <w:rsid w:val="61C5439E"/>
    <w:rsid w:val="62111CEF"/>
    <w:rsid w:val="62367D31"/>
    <w:rsid w:val="62685650"/>
    <w:rsid w:val="640C7B33"/>
    <w:rsid w:val="64274C5E"/>
    <w:rsid w:val="64F64031"/>
    <w:rsid w:val="64F71AB3"/>
    <w:rsid w:val="65834F1A"/>
    <w:rsid w:val="6979006D"/>
    <w:rsid w:val="6B28575B"/>
    <w:rsid w:val="6C9D43C3"/>
    <w:rsid w:val="6D5E317C"/>
    <w:rsid w:val="6DA325EB"/>
    <w:rsid w:val="6EAB2E1E"/>
    <w:rsid w:val="6EFA4222"/>
    <w:rsid w:val="70343755"/>
    <w:rsid w:val="73490940"/>
    <w:rsid w:val="757E1ED2"/>
    <w:rsid w:val="779A717F"/>
    <w:rsid w:val="79001B14"/>
    <w:rsid w:val="79BA7DB0"/>
    <w:rsid w:val="7B687C84"/>
    <w:rsid w:val="7B8E66CE"/>
    <w:rsid w:val="7BFA53E2"/>
    <w:rsid w:val="7C3725DB"/>
    <w:rsid w:val="7F9676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7"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jc w:val="both"/>
    </w:pPr>
    <w:rPr>
      <w:rFonts w:ascii="Times New Roman" w:hAnsi="Times New Roman" w:eastAsia="宋体" w:cs="Times New Roman"/>
      <w:sz w:val="21"/>
      <w:szCs w:val="21"/>
      <w:lang w:val="en-US" w:eastAsia="zh-CN" w:bidi="ar-SA"/>
    </w:rPr>
  </w:style>
  <w:style w:type="paragraph" w:styleId="2">
    <w:name w:val="heading 1"/>
    <w:basedOn w:val="1"/>
    <w:next w:val="1"/>
    <w:qFormat/>
    <w:uiPriority w:val="7"/>
    <w:pPr>
      <w:tabs>
        <w:tab w:val="left" w:pos="3125"/>
      </w:tabs>
      <w:ind w:left="3125" w:hanging="425"/>
      <w:outlineLvl w:val="0"/>
    </w:pPr>
    <w:rPr>
      <w:rFonts w:eastAsia="楷体_GB2312"/>
      <w:b/>
      <w:color w:val="008080"/>
      <w:sz w:val="28"/>
      <w:szCs w:val="28"/>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99"/>
    <w:pPr>
      <w:pBdr>
        <w:bottom w:val="single" w:color="000000" w:sz="6" w:space="1"/>
      </w:pBdr>
      <w:tabs>
        <w:tab w:val="center" w:pos="4153"/>
        <w:tab w:val="right" w:pos="8306"/>
      </w:tabs>
      <w:snapToGrid w:val="0"/>
      <w:jc w:val="center"/>
    </w:pPr>
    <w:rPr>
      <w:sz w:val="18"/>
      <w:szCs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page number"/>
    <w:basedOn w:val="7"/>
    <w:qFormat/>
    <w:uiPriority w:val="0"/>
  </w:style>
  <w:style w:type="character" w:styleId="9">
    <w:name w:val="Hyperlink"/>
    <w:qFormat/>
    <w:uiPriority w:val="0"/>
    <w:rPr>
      <w:color w:val="000000"/>
      <w:u w:val="none"/>
    </w:rPr>
  </w:style>
  <w:style w:type="paragraph" w:styleId="10">
    <w:name w:val="List Paragraph"/>
    <w:basedOn w:val="1"/>
    <w:qFormat/>
    <w:uiPriority w:val="34"/>
    <w:pPr>
      <w:ind w:firstLine="42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Office_11.8.2.11978_F1E327BC-269C-435d-A152-05C5408002CA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2024-07-05T07:07:00Z</dcterms:created>
  <dc:creator>XHQH</dc:creator>
  <cp:lastModifiedBy>XHQH</cp:lastModifiedBy>
  <dcterms:modified xsi:type="dcterms:W3CDTF">2024-07-05T09:32:25Z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2052-11.8.2.11978</vt:lpwstr>
  </property>
  <property fmtid="{D5CDD505-2E9C-101B-9397-08002B2CF9AE}" pid="3" name="ICV">
    <vt:lpwstr>BDE2596CDCB94A4F940755ADD477086A</vt:lpwstr>
  </property>
</Properties>
</file>